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C16A8" w14:textId="48E2CD70" w:rsidR="006D0E79" w:rsidRPr="0074590A" w:rsidRDefault="00CE01CF" w:rsidP="006D0E79">
      <w:pPr>
        <w:tabs>
          <w:tab w:val="left" w:pos="567"/>
        </w:tabs>
        <w:rPr>
          <w:rFonts w:cs="Arial"/>
          <w:b/>
          <w:sz w:val="24"/>
          <w:lang w:val="en-GB"/>
        </w:rPr>
      </w:pPr>
      <w:r>
        <w:rPr>
          <w:rFonts w:cs="Arial"/>
          <w:b/>
          <w:sz w:val="24"/>
          <w:lang w:val="en-GB"/>
        </w:rPr>
        <w:t xml:space="preserve">3GPP TSG RAN WG1 </w:t>
      </w:r>
      <w:r w:rsidR="002759D2">
        <w:rPr>
          <w:rFonts w:cs="Arial"/>
          <w:b/>
          <w:sz w:val="24"/>
          <w:lang w:val="en-GB"/>
        </w:rPr>
        <w:t>Meeting #96</w:t>
      </w:r>
      <w:r w:rsidR="0078042F">
        <w:rPr>
          <w:rFonts w:cs="Arial"/>
          <w:b/>
          <w:sz w:val="24"/>
          <w:lang w:val="en-GB"/>
        </w:rPr>
        <w:t>BIS</w:t>
      </w:r>
      <w:r w:rsidR="002759D2">
        <w:rPr>
          <w:rFonts w:cs="Arial"/>
          <w:b/>
          <w:sz w:val="24"/>
          <w:lang w:val="en-GB"/>
        </w:rPr>
        <w:tab/>
      </w:r>
      <w:r w:rsidR="002759D2">
        <w:rPr>
          <w:rFonts w:cs="Arial"/>
          <w:b/>
          <w:sz w:val="24"/>
          <w:lang w:val="en-GB"/>
        </w:rPr>
        <w:tab/>
      </w:r>
      <w:r w:rsidR="006D0E79">
        <w:rPr>
          <w:rFonts w:cs="Arial"/>
          <w:b/>
          <w:sz w:val="24"/>
          <w:lang w:val="en-GB"/>
        </w:rPr>
        <w:t xml:space="preserve">                                                                 </w:t>
      </w:r>
      <w:r w:rsidR="006D0E79">
        <w:rPr>
          <w:rFonts w:cs="Arial"/>
          <w:b/>
          <w:sz w:val="24"/>
          <w:lang w:val="en-GB"/>
        </w:rPr>
        <w:tab/>
      </w:r>
      <w:r w:rsidR="00237A75">
        <w:rPr>
          <w:rFonts w:cs="Arial"/>
          <w:b/>
          <w:sz w:val="24"/>
          <w:lang w:val="en-GB"/>
        </w:rPr>
        <w:t xml:space="preserve">    </w:t>
      </w:r>
      <w:r w:rsidR="002759D2">
        <w:rPr>
          <w:rFonts w:cs="Arial"/>
          <w:b/>
          <w:sz w:val="24"/>
          <w:lang w:val="en-GB"/>
        </w:rPr>
        <w:t>R1-19</w:t>
      </w:r>
      <w:r w:rsidR="006A48DA">
        <w:rPr>
          <w:rFonts w:cs="Arial"/>
          <w:b/>
          <w:sz w:val="24"/>
          <w:lang w:val="en-GB"/>
        </w:rPr>
        <w:t>0</w:t>
      </w:r>
      <w:r w:rsidR="00237A75" w:rsidRPr="00237A75">
        <w:rPr>
          <w:rFonts w:cs="Arial"/>
          <w:b/>
          <w:sz w:val="24"/>
          <w:lang w:val="en-GB"/>
        </w:rPr>
        <w:t>5259</w:t>
      </w:r>
    </w:p>
    <w:p w14:paraId="24C8009F" w14:textId="38A0C755" w:rsidR="00EA743A" w:rsidRPr="00EA743A" w:rsidRDefault="0078042F" w:rsidP="00EA743A">
      <w:pPr>
        <w:tabs>
          <w:tab w:val="left" w:pos="567"/>
        </w:tabs>
        <w:rPr>
          <w:rStyle w:val="apple-style-span"/>
          <w:rFonts w:cs="Arial"/>
          <w:b/>
          <w:sz w:val="16"/>
          <w:szCs w:val="16"/>
        </w:rPr>
      </w:pPr>
      <w:r>
        <w:rPr>
          <w:rFonts w:cs="Arial"/>
          <w:b/>
          <w:sz w:val="24"/>
          <w:lang w:val="en-GB"/>
        </w:rPr>
        <w:t>Xi’an</w:t>
      </w:r>
      <w:r w:rsidR="00637D76" w:rsidRPr="00637D76">
        <w:rPr>
          <w:rFonts w:cs="Arial"/>
          <w:b/>
          <w:sz w:val="24"/>
          <w:lang w:val="en-GB"/>
        </w:rPr>
        <w:t>,</w:t>
      </w:r>
      <w:r w:rsidR="002759D2">
        <w:rPr>
          <w:rFonts w:cs="Arial"/>
          <w:b/>
          <w:sz w:val="24"/>
          <w:lang w:val="en-GB"/>
        </w:rPr>
        <w:t xml:space="preserve"> </w:t>
      </w:r>
      <w:r>
        <w:rPr>
          <w:rFonts w:cs="Arial"/>
          <w:b/>
          <w:sz w:val="24"/>
          <w:lang w:val="en-GB"/>
        </w:rPr>
        <w:t>P. R. China, April</w:t>
      </w:r>
      <w:r w:rsidR="002759D2">
        <w:rPr>
          <w:rFonts w:cs="Arial"/>
          <w:b/>
          <w:sz w:val="24"/>
          <w:lang w:val="en-GB"/>
        </w:rPr>
        <w:t xml:space="preserve"> </w:t>
      </w:r>
      <w:r>
        <w:rPr>
          <w:rFonts w:cs="Arial"/>
          <w:b/>
          <w:sz w:val="24"/>
          <w:lang w:val="en-GB"/>
        </w:rPr>
        <w:t>8</w:t>
      </w:r>
      <w:r w:rsidRPr="0078042F">
        <w:rPr>
          <w:rFonts w:cs="Arial"/>
          <w:b/>
          <w:sz w:val="24"/>
          <w:vertAlign w:val="superscript"/>
          <w:lang w:val="en-GB"/>
        </w:rPr>
        <w:t>th</w:t>
      </w:r>
      <w:r w:rsidR="00637D76" w:rsidRPr="00637D76">
        <w:rPr>
          <w:rFonts w:cs="Arial"/>
          <w:b/>
          <w:sz w:val="24"/>
          <w:lang w:val="en-GB"/>
        </w:rPr>
        <w:t xml:space="preserve"> – </w:t>
      </w:r>
      <w:r>
        <w:rPr>
          <w:rFonts w:cs="Arial"/>
          <w:b/>
          <w:sz w:val="24"/>
          <w:lang w:val="en-GB"/>
        </w:rPr>
        <w:t>12</w:t>
      </w:r>
      <w:r w:rsidRPr="0078042F">
        <w:rPr>
          <w:rFonts w:cs="Arial"/>
          <w:b/>
          <w:sz w:val="24"/>
          <w:vertAlign w:val="superscript"/>
          <w:lang w:val="en-GB"/>
        </w:rPr>
        <w:t>th</w:t>
      </w:r>
      <w:r w:rsidR="00637D76" w:rsidRPr="00637D76">
        <w:rPr>
          <w:rFonts w:cs="Arial"/>
          <w:b/>
          <w:sz w:val="24"/>
          <w:lang w:val="en-GB"/>
        </w:rPr>
        <w:t>, 2019</w:t>
      </w:r>
    </w:p>
    <w:p w14:paraId="27CC8F42" w14:textId="553CDFAE"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F3A2E">
        <w:rPr>
          <w:b/>
          <w:sz w:val="24"/>
          <w:szCs w:val="24"/>
        </w:rPr>
        <w:t>7</w:t>
      </w:r>
      <w:r w:rsidR="0047618F">
        <w:rPr>
          <w:b/>
          <w:sz w:val="24"/>
          <w:szCs w:val="24"/>
        </w:rPr>
        <w:t>.</w:t>
      </w:r>
      <w:r w:rsidR="00FD0831">
        <w:rPr>
          <w:b/>
          <w:sz w:val="24"/>
          <w:szCs w:val="24"/>
        </w:rPr>
        <w:t>2.2.</w:t>
      </w:r>
      <w:r w:rsidR="00080F03">
        <w:rPr>
          <w:b/>
          <w:sz w:val="24"/>
          <w:szCs w:val="24"/>
        </w:rPr>
        <w:t>2</w:t>
      </w:r>
      <w:r w:rsidR="00965321">
        <w:rPr>
          <w:b/>
          <w:sz w:val="24"/>
          <w:szCs w:val="24"/>
        </w:rPr>
        <w:t>.</w:t>
      </w:r>
      <w:r w:rsidR="00080F03">
        <w:rPr>
          <w:b/>
          <w:sz w:val="24"/>
          <w:szCs w:val="24"/>
        </w:rPr>
        <w:t>3</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0B0BCCBE"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78042F" w:rsidRPr="0078042F">
        <w:rPr>
          <w:b/>
          <w:sz w:val="24"/>
          <w:szCs w:val="24"/>
        </w:rPr>
        <w:t xml:space="preserve">On </w:t>
      </w:r>
      <w:r w:rsidR="00080F03">
        <w:rPr>
          <w:b/>
          <w:sz w:val="24"/>
          <w:szCs w:val="24"/>
        </w:rPr>
        <w:t>HARQ Enhancements and UL Scheduling</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24675206" w14:textId="4455DE8C" w:rsidR="00BC07D6" w:rsidRDefault="00017FFD" w:rsidP="0058113E">
      <w:pPr>
        <w:pStyle w:val="maintext"/>
        <w:ind w:firstLineChars="0" w:firstLine="0"/>
        <w:rPr>
          <w:rFonts w:ascii="Calibri" w:hAnsi="Calibri"/>
        </w:rPr>
      </w:pPr>
      <w:r>
        <w:rPr>
          <w:rFonts w:ascii="Calibri" w:hAnsi="Calibri"/>
        </w:rPr>
        <w:t>T</w:t>
      </w:r>
      <w:r w:rsidR="00CE01CF">
        <w:rPr>
          <w:rFonts w:ascii="Calibri" w:hAnsi="Calibri"/>
        </w:rPr>
        <w:t>he NR-U WI</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B16656">
        <w:rPr>
          <w:rFonts w:ascii="Calibri" w:hAnsi="Calibri"/>
        </w:rPr>
        <w:t xml:space="preserve">In </w:t>
      </w:r>
      <w:r>
        <w:rPr>
          <w:rFonts w:ascii="Calibri" w:hAnsi="Calibri"/>
        </w:rPr>
        <w:t>the January RAN1 ad hoc meeting</w:t>
      </w:r>
      <w:r w:rsidR="0078042F">
        <w:rPr>
          <w:rFonts w:ascii="Calibri" w:hAnsi="Calibri"/>
        </w:rPr>
        <w:t xml:space="preserve"> and RAN1#96</w:t>
      </w:r>
      <w:r>
        <w:rPr>
          <w:rFonts w:ascii="Calibri" w:hAnsi="Calibri"/>
        </w:rPr>
        <w:t xml:space="preserve">, several agreements were reached on HARQ enhancements </w:t>
      </w:r>
      <w:r>
        <w:rPr>
          <w:rFonts w:ascii="Calibri" w:hAnsi="Calibri"/>
        </w:rPr>
        <w:fldChar w:fldCharType="begin"/>
      </w:r>
      <w:r>
        <w:rPr>
          <w:rFonts w:ascii="Calibri" w:hAnsi="Calibri"/>
        </w:rPr>
        <w:instrText xml:space="preserve"> REF _Ref878098 \r \h </w:instrText>
      </w:r>
      <w:r>
        <w:rPr>
          <w:rFonts w:ascii="Calibri" w:hAnsi="Calibri"/>
        </w:rPr>
      </w:r>
      <w:r>
        <w:rPr>
          <w:rFonts w:ascii="Calibri" w:hAnsi="Calibri"/>
        </w:rPr>
        <w:fldChar w:fldCharType="separate"/>
      </w:r>
      <w:r>
        <w:rPr>
          <w:rFonts w:ascii="Calibri" w:hAnsi="Calibri"/>
        </w:rPr>
        <w:t>[2]</w:t>
      </w:r>
      <w:r>
        <w:rPr>
          <w:rFonts w:ascii="Calibri" w:hAnsi="Calibri"/>
        </w:rPr>
        <w:fldChar w:fldCharType="end"/>
      </w:r>
      <w:r>
        <w:rPr>
          <w:rFonts w:ascii="Calibri" w:hAnsi="Calibri"/>
        </w:rPr>
        <w:t>:</w:t>
      </w:r>
    </w:p>
    <w:p w14:paraId="31D9C811" w14:textId="77777777" w:rsidR="00017FFD" w:rsidRPr="00313201" w:rsidRDefault="00017FFD" w:rsidP="00017FFD">
      <w:pPr>
        <w:rPr>
          <w:bCs/>
          <w:lang w:eastAsia="x-none"/>
        </w:rPr>
      </w:pPr>
      <w:r w:rsidRPr="003157E4">
        <w:rPr>
          <w:bCs/>
          <w:highlight w:val="green"/>
          <w:lang w:eastAsia="x-none"/>
        </w:rPr>
        <w:t>Agreement:</w:t>
      </w:r>
    </w:p>
    <w:p w14:paraId="5D4FE28C" w14:textId="362EC09E" w:rsidR="00017FFD" w:rsidRPr="00017FFD" w:rsidRDefault="00017FFD" w:rsidP="00443D0A">
      <w:pPr>
        <w:numPr>
          <w:ilvl w:val="0"/>
          <w:numId w:val="39"/>
        </w:numPr>
        <w:spacing w:before="0" w:after="0"/>
        <w:jc w:val="left"/>
        <w:rPr>
          <w:bCs/>
          <w:lang w:eastAsia="x-none"/>
        </w:rPr>
      </w:pPr>
      <w:r w:rsidRPr="00017FFD">
        <w:rPr>
          <w:rFonts w:hint="eastAsia"/>
          <w:bCs/>
          <w:lang w:eastAsia="x-none"/>
        </w:rPr>
        <w:t xml:space="preserve">RRC </w:t>
      </w:r>
      <w:r w:rsidRPr="00017FFD">
        <w:rPr>
          <w:bCs/>
          <w:lang w:eastAsia="x-none"/>
        </w:rPr>
        <w:t>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r>
        <w:rPr>
          <w:bCs/>
          <w:lang w:eastAsia="x-none"/>
        </w:rPr>
        <w:br/>
      </w:r>
    </w:p>
    <w:p w14:paraId="5CB2F537" w14:textId="77777777" w:rsidR="00017FFD" w:rsidRPr="00D6436B" w:rsidRDefault="00017FFD" w:rsidP="00017FFD">
      <w:pPr>
        <w:rPr>
          <w:bCs/>
          <w:u w:val="single"/>
          <w:lang w:eastAsia="x-none"/>
        </w:rPr>
      </w:pPr>
      <w:r w:rsidRPr="00D6436B">
        <w:rPr>
          <w:bCs/>
          <w:u w:val="single"/>
          <w:lang w:eastAsia="x-none"/>
        </w:rPr>
        <w:t>Conclusion:</w:t>
      </w:r>
    </w:p>
    <w:p w14:paraId="58762F72" w14:textId="77777777" w:rsidR="00017FFD" w:rsidRDefault="00017FFD" w:rsidP="00017FFD">
      <w:pPr>
        <w:numPr>
          <w:ilvl w:val="0"/>
          <w:numId w:val="39"/>
        </w:numPr>
        <w:spacing w:before="0" w:after="0"/>
        <w:jc w:val="left"/>
        <w:rPr>
          <w:bCs/>
          <w:lang w:eastAsia="x-none"/>
        </w:rPr>
      </w:pPr>
      <w:r w:rsidRPr="00AF5246">
        <w:rPr>
          <w:bCs/>
          <w:lang w:eastAsia="x-none"/>
        </w:rPr>
        <w:t xml:space="preserve">No additional value of K1 signaled by PDSCH-to-HARQ-timing-indicator </w:t>
      </w:r>
      <w:r>
        <w:rPr>
          <w:bCs/>
          <w:lang w:eastAsia="x-none"/>
        </w:rPr>
        <w:t>needs to be</w:t>
      </w:r>
      <w:r w:rsidRPr="00AF5246">
        <w:rPr>
          <w:bCs/>
          <w:lang w:eastAsia="x-none"/>
        </w:rPr>
        <w:t xml:space="preserve"> introduced</w:t>
      </w:r>
      <w:r>
        <w:rPr>
          <w:bCs/>
          <w:lang w:eastAsia="x-none"/>
        </w:rPr>
        <w:t xml:space="preserve"> for the purpose of</w:t>
      </w:r>
      <w:r w:rsidRPr="00AF5246">
        <w:rPr>
          <w:bCs/>
          <w:lang w:eastAsia="x-none"/>
        </w:rPr>
        <w:t xml:space="preserve"> request</w:t>
      </w:r>
      <w:r>
        <w:rPr>
          <w:bCs/>
          <w:lang w:eastAsia="x-none"/>
        </w:rPr>
        <w:t>ing</w:t>
      </w:r>
      <w:r w:rsidRPr="00AF5246">
        <w:rPr>
          <w:bCs/>
          <w:lang w:eastAsia="x-none"/>
        </w:rPr>
        <w:t xml:space="preserve"> feedback outside the COT (i.e. Alt3 in TR38.889 section 7.2.1.3.3)</w:t>
      </w:r>
    </w:p>
    <w:p w14:paraId="49071AE7" w14:textId="77777777" w:rsidR="00017FFD" w:rsidRDefault="00017FFD" w:rsidP="00017FFD">
      <w:pPr>
        <w:numPr>
          <w:ilvl w:val="1"/>
          <w:numId w:val="39"/>
        </w:numPr>
        <w:spacing w:before="0" w:after="0"/>
        <w:jc w:val="left"/>
        <w:rPr>
          <w:bCs/>
          <w:lang w:eastAsia="x-none"/>
        </w:rPr>
      </w:pPr>
      <w:r w:rsidRPr="00AF5246">
        <w:rPr>
          <w:bCs/>
          <w:lang w:eastAsia="x-none"/>
        </w:rPr>
        <w:t>Further discuss the details for determining the LBT type for the UE transmission of HARQ A/N feedback for this case</w:t>
      </w:r>
    </w:p>
    <w:p w14:paraId="309FFEBD" w14:textId="77777777" w:rsidR="00017FFD" w:rsidRDefault="00017FFD" w:rsidP="00017FFD">
      <w:pPr>
        <w:numPr>
          <w:ilvl w:val="1"/>
          <w:numId w:val="39"/>
        </w:numPr>
        <w:spacing w:before="0" w:after="0"/>
        <w:jc w:val="left"/>
        <w:rPr>
          <w:bCs/>
          <w:lang w:eastAsia="x-none"/>
        </w:rPr>
      </w:pPr>
      <w:r>
        <w:rPr>
          <w:bCs/>
          <w:lang w:eastAsia="x-none"/>
        </w:rPr>
        <w:t>Further discuss whether additional values need to be introduced for the purpose of requesting feedback inside the COT</w:t>
      </w:r>
    </w:p>
    <w:p w14:paraId="04FC64F1" w14:textId="77777777" w:rsidR="00017FFD" w:rsidRDefault="00017FFD" w:rsidP="00017FFD">
      <w:pPr>
        <w:numPr>
          <w:ilvl w:val="2"/>
          <w:numId w:val="39"/>
        </w:numPr>
        <w:spacing w:before="0" w:after="0"/>
        <w:jc w:val="left"/>
        <w:rPr>
          <w:bCs/>
          <w:lang w:eastAsia="x-none"/>
        </w:rPr>
      </w:pPr>
      <w:r>
        <w:rPr>
          <w:bCs/>
          <w:lang w:eastAsia="x-none"/>
        </w:rPr>
        <w:t>If additional values are introduced these can also be used for requesting feedback outside the COT</w:t>
      </w:r>
    </w:p>
    <w:p w14:paraId="164A152B" w14:textId="24A2E942" w:rsidR="00017FFD" w:rsidRDefault="00017FFD" w:rsidP="00760331">
      <w:pPr>
        <w:numPr>
          <w:ilvl w:val="1"/>
          <w:numId w:val="39"/>
        </w:numPr>
        <w:spacing w:before="0" w:after="0"/>
        <w:jc w:val="left"/>
        <w:rPr>
          <w:lang w:eastAsia="x-none"/>
        </w:rPr>
      </w:pPr>
      <w:r w:rsidRPr="00017FFD">
        <w:rPr>
          <w:bCs/>
          <w:lang w:eastAsia="x-none"/>
        </w:rPr>
        <w:t>Note: This does not necessitate that the UE needs to know whether the feedback is inside or outside the COT at the time when the feedback is requested</w:t>
      </w:r>
      <w:r>
        <w:rPr>
          <w:bCs/>
          <w:lang w:eastAsia="x-none"/>
        </w:rPr>
        <w:br/>
      </w:r>
    </w:p>
    <w:p w14:paraId="24C70369" w14:textId="77777777" w:rsidR="00017FFD" w:rsidRDefault="00017FFD" w:rsidP="00017FFD">
      <w:pPr>
        <w:rPr>
          <w:lang w:eastAsia="x-none"/>
        </w:rPr>
      </w:pPr>
      <w:r w:rsidRPr="004B2B29">
        <w:rPr>
          <w:highlight w:val="green"/>
          <w:lang w:eastAsia="x-none"/>
        </w:rPr>
        <w:t>Agreement:</w:t>
      </w:r>
    </w:p>
    <w:p w14:paraId="01DAA771" w14:textId="77777777" w:rsidR="00017FFD" w:rsidRDefault="00017FFD" w:rsidP="00017FFD">
      <w:pPr>
        <w:rPr>
          <w:lang w:eastAsia="x-none"/>
        </w:rPr>
      </w:pPr>
      <w:r>
        <w:rPr>
          <w:lang w:eastAsia="x-none"/>
        </w:rPr>
        <w:t>For enabling m</w:t>
      </w:r>
      <w:r w:rsidRPr="00893C40">
        <w:rPr>
          <w:lang w:eastAsia="x-none"/>
        </w:rPr>
        <w:t>ultiple opportunities for HARQ A/N transmission</w:t>
      </w:r>
      <w:r>
        <w:rPr>
          <w:lang w:eastAsia="x-none"/>
        </w:rPr>
        <w:t xml:space="preserve"> and for c</w:t>
      </w:r>
      <w:r w:rsidRPr="00893C40">
        <w:rPr>
          <w:lang w:eastAsia="x-none"/>
        </w:rPr>
        <w:t>ross-COT HARQ-ACK feedback</w:t>
      </w:r>
      <w:r>
        <w:rPr>
          <w:lang w:eastAsia="x-none"/>
        </w:rPr>
        <w:t>, at least the following is supported:</w:t>
      </w:r>
    </w:p>
    <w:p w14:paraId="57E5CED3" w14:textId="2F882A58" w:rsidR="00017FFD" w:rsidRDefault="00017FFD" w:rsidP="00017FFD">
      <w:pPr>
        <w:rPr>
          <w:lang w:eastAsia="x-none"/>
        </w:rPr>
      </w:pPr>
      <w:r w:rsidRPr="00893C40">
        <w:rPr>
          <w:lang w:eastAsia="x-none"/>
        </w:rPr>
        <w:t>gNB requests/triggers feedback for PDSCH from earlier COT(s) or additional reporting of earlier HARQ feedback, where the exact HARQ feedback timing and resource is provided to the UE in another DCI (in the same or in another COT)</w:t>
      </w:r>
      <w:r>
        <w:rPr>
          <w:lang w:eastAsia="x-none"/>
        </w:rPr>
        <w:br/>
      </w:r>
    </w:p>
    <w:p w14:paraId="263C6486" w14:textId="77777777" w:rsidR="00017FFD" w:rsidRDefault="00017FFD" w:rsidP="00017FFD">
      <w:pPr>
        <w:rPr>
          <w:lang w:eastAsia="x-none"/>
        </w:rPr>
      </w:pPr>
      <w:r w:rsidRPr="00D2061C">
        <w:rPr>
          <w:highlight w:val="green"/>
          <w:lang w:eastAsia="x-none"/>
        </w:rPr>
        <w:t>Agreement:</w:t>
      </w:r>
    </w:p>
    <w:p w14:paraId="75E9236C" w14:textId="77777777" w:rsidR="00017FFD" w:rsidRDefault="00017FFD" w:rsidP="00017FFD">
      <w:pPr>
        <w:rPr>
          <w:lang w:eastAsia="x-none"/>
        </w:rPr>
      </w:pPr>
      <w:r w:rsidRPr="00D2061C">
        <w:rPr>
          <w:lang w:eastAsia="x-none"/>
        </w:rPr>
        <w:t>Cross-carrier HARQ re-transmissions will not be discussed for NR-U in Rel-16.</w:t>
      </w:r>
    </w:p>
    <w:p w14:paraId="7C3D2FEB" w14:textId="77777777" w:rsidR="0078042F" w:rsidRDefault="0078042F" w:rsidP="0078042F">
      <w:pPr>
        <w:rPr>
          <w:lang w:eastAsia="x-none"/>
        </w:rPr>
      </w:pPr>
      <w:r w:rsidRPr="00B0796C">
        <w:rPr>
          <w:highlight w:val="green"/>
          <w:lang w:eastAsia="x-none"/>
        </w:rPr>
        <w:t>Agreement:</w:t>
      </w:r>
    </w:p>
    <w:p w14:paraId="52644D6B" w14:textId="77777777" w:rsidR="0078042F" w:rsidRDefault="0078042F" w:rsidP="0078042F">
      <w:pPr>
        <w:rPr>
          <w:lang w:eastAsia="x-none"/>
        </w:rPr>
      </w:pPr>
      <w:r>
        <w:rPr>
          <w:lang w:eastAsia="x-none"/>
        </w:rPr>
        <w:t>Scheduling PUSCH over multiple slots/mini-slots by single DCI supports at least multiple continuous PUSCHs with separate TBs</w:t>
      </w:r>
    </w:p>
    <w:p w14:paraId="6CFAF63B" w14:textId="77777777" w:rsidR="0078042F" w:rsidRDefault="0078042F" w:rsidP="0078042F">
      <w:pPr>
        <w:numPr>
          <w:ilvl w:val="0"/>
          <w:numId w:val="42"/>
        </w:numPr>
        <w:spacing w:before="0" w:after="0"/>
        <w:jc w:val="left"/>
        <w:rPr>
          <w:lang w:eastAsia="x-none"/>
        </w:rPr>
      </w:pPr>
      <w:r>
        <w:rPr>
          <w:lang w:eastAsia="x-none"/>
        </w:rPr>
        <w:t>Each TB is mapped to at most one slot or one mini-slot</w:t>
      </w:r>
    </w:p>
    <w:p w14:paraId="7002AAA4" w14:textId="77777777" w:rsidR="00017FFD" w:rsidRDefault="00017FFD" w:rsidP="0058113E">
      <w:pPr>
        <w:pStyle w:val="maintext"/>
        <w:ind w:firstLineChars="0" w:firstLine="0"/>
        <w:rPr>
          <w:rFonts w:ascii="Calibri" w:hAnsi="Calibri"/>
        </w:rPr>
      </w:pPr>
    </w:p>
    <w:p w14:paraId="5C44AC42" w14:textId="59E7E943" w:rsidR="00F33B94" w:rsidRDefault="00017FFD" w:rsidP="004D58F6">
      <w:pPr>
        <w:pStyle w:val="maintext"/>
        <w:ind w:firstLineChars="0" w:firstLine="0"/>
        <w:rPr>
          <w:rFonts w:ascii="Calibri" w:hAnsi="Calibri"/>
        </w:rPr>
      </w:pPr>
      <w:r>
        <w:rPr>
          <w:rFonts w:ascii="Calibri" w:hAnsi="Calibri"/>
        </w:rPr>
        <w:t xml:space="preserve">This contribution discusses open issues as captured in </w:t>
      </w:r>
      <w:r>
        <w:rPr>
          <w:rFonts w:ascii="Calibri" w:hAnsi="Calibri"/>
        </w:rPr>
        <w:fldChar w:fldCharType="begin"/>
      </w:r>
      <w:r>
        <w:rPr>
          <w:rFonts w:ascii="Calibri" w:hAnsi="Calibri"/>
        </w:rPr>
        <w:instrText xml:space="preserve"> REF _Ref878141 \r \h </w:instrText>
      </w:r>
      <w:r>
        <w:rPr>
          <w:rFonts w:ascii="Calibri" w:hAnsi="Calibri"/>
        </w:rPr>
      </w:r>
      <w:r>
        <w:rPr>
          <w:rFonts w:ascii="Calibri" w:hAnsi="Calibri"/>
        </w:rPr>
        <w:fldChar w:fldCharType="separate"/>
      </w:r>
      <w:r>
        <w:rPr>
          <w:rFonts w:ascii="Calibri" w:hAnsi="Calibri"/>
        </w:rPr>
        <w:t>[4]</w:t>
      </w:r>
      <w:r>
        <w:rPr>
          <w:rFonts w:ascii="Calibri" w:hAnsi="Calibri"/>
        </w:rPr>
        <w:fldChar w:fldCharType="end"/>
      </w:r>
      <w:r>
        <w:rPr>
          <w:rFonts w:ascii="Calibri" w:hAnsi="Calibri"/>
        </w:rPr>
        <w:t>.</w:t>
      </w:r>
    </w:p>
    <w:p w14:paraId="7E833F0D" w14:textId="5597095A" w:rsidR="00B94AAD" w:rsidRDefault="00E251EC" w:rsidP="00257F9A">
      <w:pPr>
        <w:pStyle w:val="Heading1"/>
      </w:pPr>
      <w:r>
        <w:lastRenderedPageBreak/>
        <w:t xml:space="preserve">NR-U </w:t>
      </w:r>
      <w:r w:rsidR="00017FFD">
        <w:t>HARQ Enhancements</w:t>
      </w:r>
    </w:p>
    <w:p w14:paraId="754B61CC" w14:textId="77777777" w:rsidR="00B5169C" w:rsidRDefault="00B5169C" w:rsidP="00A921DD">
      <w:pPr>
        <w:rPr>
          <w:b/>
        </w:rPr>
      </w:pPr>
    </w:p>
    <w:p w14:paraId="40550066" w14:textId="77777777" w:rsidR="00274CFD" w:rsidRDefault="00274CFD" w:rsidP="00A921DD">
      <w:pPr>
        <w:rPr>
          <w:b/>
        </w:rPr>
      </w:pPr>
    </w:p>
    <w:p w14:paraId="5570E0DC" w14:textId="77777777" w:rsidR="00ED6DB9" w:rsidRDefault="00672B47" w:rsidP="00ED6DB9">
      <w:pPr>
        <w:pStyle w:val="Heading2"/>
      </w:pPr>
      <w:r>
        <w:t>HARQ A/N Feedback</w:t>
      </w:r>
    </w:p>
    <w:p w14:paraId="488F1306" w14:textId="77777777" w:rsidR="00672B47" w:rsidRDefault="00672B47" w:rsidP="00672B47"/>
    <w:p w14:paraId="33D9A4C6" w14:textId="5111DBD1" w:rsidR="00672B47" w:rsidRDefault="00672B47" w:rsidP="00672B47">
      <w:r>
        <w:t>Multiple alternatives have been discussed for HARQ ACK/NACK feedback opportunities, out of which Alt. 1 (</w:t>
      </w:r>
      <w:r w:rsidRPr="00893C40">
        <w:rPr>
          <w:lang w:eastAsia="x-none"/>
        </w:rPr>
        <w:t>gNB requests/triggers feedback for PDSCH from earlier COT(s) or additional reporting of earlier HARQ feedback, where the exact HARQ feedback timing and resource is provided to the UE in another DCI (in the same or in another COT)</w:t>
      </w:r>
      <w:r>
        <w:rPr>
          <w:lang w:eastAsia="x-none"/>
        </w:rPr>
        <w:t xml:space="preserve">) </w:t>
      </w:r>
      <w:r>
        <w:t>has been agreed to. Our views on the remaining alternatives are as follows.</w:t>
      </w:r>
    </w:p>
    <w:p w14:paraId="1B7F6FB6" w14:textId="77777777" w:rsidR="00672B47" w:rsidRDefault="00672B47" w:rsidP="00672B47">
      <w:pPr>
        <w:numPr>
          <w:ilvl w:val="0"/>
          <w:numId w:val="39"/>
        </w:numPr>
        <w:spacing w:before="0" w:after="0"/>
        <w:ind w:left="720"/>
        <w:jc w:val="left"/>
        <w:rPr>
          <w:bCs/>
          <w:lang w:eastAsia="x-none"/>
        </w:rPr>
      </w:pPr>
      <w:r w:rsidRPr="005A4F84">
        <w:rPr>
          <w:bCs/>
          <w:lang w:eastAsia="x-none"/>
        </w:rPr>
        <w:t>Alt2: UE is configured/allowed to report HARQ feedback for PDSCH from earlier COT(s) without an explicit request/trigger</w:t>
      </w:r>
    </w:p>
    <w:p w14:paraId="4FDF8177" w14:textId="5951623D" w:rsidR="006A48DA" w:rsidRPr="005A4F84" w:rsidRDefault="006A48DA" w:rsidP="006A48DA">
      <w:pPr>
        <w:numPr>
          <w:ilvl w:val="1"/>
          <w:numId w:val="39"/>
        </w:numPr>
        <w:spacing w:before="0" w:after="0"/>
        <w:jc w:val="left"/>
        <w:rPr>
          <w:bCs/>
          <w:lang w:eastAsia="x-none"/>
        </w:rPr>
      </w:pPr>
      <w:r>
        <w:rPr>
          <w:bCs/>
          <w:lang w:eastAsia="x-none"/>
        </w:rPr>
        <w:t xml:space="preserve">In our understanding, this is similar to AUL operation for the purpose of HARQ feedback, with or without multiplexed UL-SCH. </w:t>
      </w:r>
      <w:r w:rsidR="00715B93">
        <w:rPr>
          <w:bCs/>
          <w:lang w:eastAsia="x-none"/>
        </w:rPr>
        <w:t>Therefore, this mechanism should be discussed in the context of configured grant enhancements, and a separate operational mode for HARQ ACK/NACK feedback is not necessary.</w:t>
      </w:r>
    </w:p>
    <w:p w14:paraId="48FF2820" w14:textId="77777777" w:rsidR="00672B47" w:rsidRPr="005A4F84" w:rsidRDefault="00672B47" w:rsidP="00672B47">
      <w:pPr>
        <w:numPr>
          <w:ilvl w:val="0"/>
          <w:numId w:val="39"/>
        </w:numPr>
        <w:spacing w:before="0" w:after="0"/>
        <w:ind w:left="720"/>
        <w:jc w:val="left"/>
        <w:rPr>
          <w:bCs/>
          <w:lang w:eastAsia="x-none"/>
        </w:rPr>
      </w:pPr>
      <w:r w:rsidRPr="005A4F84">
        <w:rPr>
          <w:bCs/>
          <w:lang w:eastAsia="x-none"/>
        </w:rPr>
        <w:t xml:space="preserve">Alt3: gNB requests feedback outside the COT by </w:t>
      </w:r>
      <w:bookmarkStart w:id="2" w:name="OLE_LINK3"/>
      <w:bookmarkStart w:id="3" w:name="OLE_LINK4"/>
      <w:r w:rsidRPr="005A4F84">
        <w:rPr>
          <w:bCs/>
          <w:lang w:eastAsia="x-none"/>
        </w:rPr>
        <w:t>PDSCH-to-HARQ-timing-indicator</w:t>
      </w:r>
      <w:bookmarkEnd w:id="2"/>
      <w:bookmarkEnd w:id="3"/>
      <w:r w:rsidRPr="005A4F84">
        <w:rPr>
          <w:bCs/>
          <w:lang w:eastAsia="x-none"/>
        </w:rPr>
        <w:t xml:space="preserve"> in the DCI scheduling the PDSCH</w:t>
      </w:r>
    </w:p>
    <w:p w14:paraId="18375C28" w14:textId="3492663B" w:rsidR="00672B47" w:rsidRDefault="006A19C4" w:rsidP="006A19C4">
      <w:pPr>
        <w:pStyle w:val="ListParagraph"/>
        <w:numPr>
          <w:ilvl w:val="1"/>
          <w:numId w:val="39"/>
        </w:numPr>
        <w:kinsoku w:val="0"/>
        <w:overflowPunct w:val="0"/>
        <w:adjustRightInd w:val="0"/>
        <w:spacing w:before="0" w:after="60"/>
        <w:jc w:val="left"/>
        <w:textAlignment w:val="baseline"/>
      </w:pPr>
      <w:r>
        <w:t>This should be supported</w:t>
      </w:r>
      <w:r w:rsidR="00274CFD">
        <w:t xml:space="preserve"> since HARQ ACK/NACK feedback within the same COT may not always be feasible due to processing delay or UL resource constraints.</w:t>
      </w:r>
    </w:p>
    <w:p w14:paraId="0934EE83" w14:textId="2B016FE4" w:rsidR="006A19C4" w:rsidRPr="003054EB" w:rsidRDefault="006A48DA" w:rsidP="00401FB8">
      <w:pPr>
        <w:numPr>
          <w:ilvl w:val="1"/>
          <w:numId w:val="39"/>
        </w:numPr>
        <w:kinsoku w:val="0"/>
        <w:overflowPunct w:val="0"/>
        <w:adjustRightInd w:val="0"/>
        <w:spacing w:before="0" w:after="60"/>
        <w:jc w:val="left"/>
        <w:textAlignment w:val="baseline"/>
      </w:pPr>
      <w:r w:rsidRPr="00DB38BF">
        <w:rPr>
          <w:bCs/>
          <w:lang w:eastAsia="x-none"/>
        </w:rPr>
        <w:t xml:space="preserve">With regard to </w:t>
      </w:r>
      <w:r w:rsidR="006A19C4" w:rsidRPr="00DB38BF">
        <w:rPr>
          <w:bCs/>
          <w:lang w:eastAsia="x-none"/>
        </w:rPr>
        <w:t>determining the LBT type for the UE transmission of HARQ A/N feedback for this case</w:t>
      </w:r>
      <w:r w:rsidR="00274CFD" w:rsidRPr="00DB38BF">
        <w:rPr>
          <w:bCs/>
          <w:lang w:eastAsia="x-none"/>
        </w:rPr>
        <w:t xml:space="preserve">, this is dependent upon the channel access rules for PUCCH-only or UCI-on-PUSCH transmissions outside a COT. Cat-4 LBT is assumed to be the </w:t>
      </w:r>
      <w:r w:rsidR="00401FB8" w:rsidRPr="00401FB8">
        <w:rPr>
          <w:bCs/>
          <w:lang w:eastAsia="x-none"/>
        </w:rPr>
        <w:t xml:space="preserve">COT-initiation </w:t>
      </w:r>
      <w:r w:rsidR="00274CFD" w:rsidRPr="00DB38BF">
        <w:rPr>
          <w:bCs/>
          <w:lang w:eastAsia="x-none"/>
        </w:rPr>
        <w:t>channel access mechanism for such transmissions, with the channel access priority class to be discussed further.</w:t>
      </w:r>
    </w:p>
    <w:p w14:paraId="1ED71937" w14:textId="77777777" w:rsidR="00672B47" w:rsidRDefault="00672B47" w:rsidP="00672B47">
      <w:pPr>
        <w:numPr>
          <w:ilvl w:val="0"/>
          <w:numId w:val="39"/>
        </w:numPr>
        <w:spacing w:before="0" w:after="0"/>
        <w:ind w:left="720"/>
        <w:jc w:val="left"/>
        <w:rPr>
          <w:bCs/>
          <w:lang w:eastAsia="x-none"/>
        </w:rPr>
      </w:pPr>
      <w:r w:rsidRPr="005A4F84">
        <w:rPr>
          <w:bCs/>
          <w:lang w:eastAsia="x-none"/>
        </w:rPr>
        <w:t>Alt4: preconfigured/pre-indicated multiple opportunities in frequency domain in different LBT subbands</w:t>
      </w:r>
    </w:p>
    <w:p w14:paraId="434E034D" w14:textId="6406B00B" w:rsidR="00DB38BF" w:rsidRPr="005A4F84" w:rsidRDefault="00DB38BF" w:rsidP="00DB38BF">
      <w:pPr>
        <w:numPr>
          <w:ilvl w:val="1"/>
          <w:numId w:val="39"/>
        </w:numPr>
        <w:spacing w:before="0" w:after="0"/>
        <w:jc w:val="left"/>
        <w:rPr>
          <w:bCs/>
          <w:lang w:eastAsia="x-none"/>
        </w:rPr>
      </w:pPr>
      <w:r>
        <w:rPr>
          <w:bCs/>
          <w:lang w:eastAsia="x-none"/>
        </w:rPr>
        <w:t>The current wideband mode for NR-U allows (possibly discontiguous) transmissions in different LBT subbands in principle, however, the exact details remain under discussion. With Alt4, it is assumed that a UE is over-allocated resources on different subbands in order to mitigate the impact of LBT failure. This should be a scheduler choice and may be feasible via implementation without major specification impact.</w:t>
      </w:r>
    </w:p>
    <w:p w14:paraId="006454AB" w14:textId="77777777" w:rsidR="00672B47" w:rsidRDefault="00672B47" w:rsidP="00672B47">
      <w:pPr>
        <w:numPr>
          <w:ilvl w:val="0"/>
          <w:numId w:val="39"/>
        </w:numPr>
        <w:spacing w:before="0" w:after="0"/>
        <w:ind w:left="720"/>
        <w:jc w:val="left"/>
        <w:rPr>
          <w:bCs/>
          <w:lang w:eastAsia="x-none"/>
        </w:rPr>
      </w:pPr>
      <w:r w:rsidRPr="005A4F84">
        <w:rPr>
          <w:bCs/>
          <w:lang w:eastAsia="x-none"/>
        </w:rPr>
        <w:t>Alt5: preconfigured/pre-indicated multiple opportunities in time domain</w:t>
      </w:r>
    </w:p>
    <w:p w14:paraId="6F9C8077" w14:textId="3572AB5A" w:rsidR="00DB38BF" w:rsidRPr="005A4F84" w:rsidRDefault="00DB38BF" w:rsidP="00DB38BF">
      <w:pPr>
        <w:numPr>
          <w:ilvl w:val="1"/>
          <w:numId w:val="39"/>
        </w:numPr>
        <w:spacing w:before="0" w:after="0"/>
        <w:jc w:val="left"/>
        <w:rPr>
          <w:bCs/>
          <w:lang w:eastAsia="x-none"/>
        </w:rPr>
      </w:pPr>
      <w:r>
        <w:rPr>
          <w:bCs/>
          <w:lang w:eastAsia="x-none"/>
        </w:rPr>
        <w:t xml:space="preserve">This appears to be an over-optimization, given that Alt1 is already supported and Alt3 is expected to be agreed in addition. </w:t>
      </w:r>
    </w:p>
    <w:p w14:paraId="0581F815" w14:textId="77777777" w:rsidR="00672B47" w:rsidRPr="00672B47" w:rsidRDefault="00672B47" w:rsidP="00672B47"/>
    <w:p w14:paraId="131699B3" w14:textId="77777777" w:rsidR="004F79FA" w:rsidRDefault="004F79FA" w:rsidP="00CE01CF"/>
    <w:p w14:paraId="6F110316" w14:textId="21228ABB" w:rsidR="00E31E13" w:rsidRDefault="004F79FA" w:rsidP="00CE01CF">
      <w:pPr>
        <w:rPr>
          <w:b/>
        </w:rPr>
      </w:pPr>
      <w:r w:rsidRPr="004F79FA">
        <w:t xml:space="preserve"> </w:t>
      </w:r>
      <w:r w:rsidR="00715B93">
        <w:rPr>
          <w:b/>
        </w:rPr>
        <w:t>Proposal</w:t>
      </w:r>
      <w:r w:rsidRPr="00A22957">
        <w:rPr>
          <w:b/>
        </w:rPr>
        <w:t xml:space="preserve"> 1</w:t>
      </w:r>
      <w:r w:rsidR="00F42415" w:rsidRPr="00A22957">
        <w:rPr>
          <w:b/>
        </w:rPr>
        <w:t>:</w:t>
      </w:r>
      <w:r w:rsidR="00715B93">
        <w:rPr>
          <w:b/>
        </w:rPr>
        <w:t xml:space="preserve"> </w:t>
      </w:r>
      <w:r w:rsidR="00F42415" w:rsidRPr="00A22957">
        <w:rPr>
          <w:b/>
        </w:rPr>
        <w:t xml:space="preserve"> </w:t>
      </w:r>
      <w:r w:rsidR="00715B93">
        <w:rPr>
          <w:b/>
        </w:rPr>
        <w:t xml:space="preserve">Alt2 </w:t>
      </w:r>
      <w:r w:rsidR="00715B93" w:rsidRPr="00715B93">
        <w:rPr>
          <w:b/>
        </w:rPr>
        <w:t xml:space="preserve">should be discussed in the context of configured grant enhancements, and a separate operational mode for </w:t>
      </w:r>
      <w:r w:rsidR="00274CFD">
        <w:rPr>
          <w:b/>
        </w:rPr>
        <w:t xml:space="preserve">autonomous </w:t>
      </w:r>
      <w:r w:rsidR="00715B93" w:rsidRPr="00715B93">
        <w:rPr>
          <w:b/>
        </w:rPr>
        <w:t>HARQ ACK/NACK feedback is not necessary.</w:t>
      </w:r>
    </w:p>
    <w:p w14:paraId="156A220D" w14:textId="22C6712E" w:rsidR="00715B93" w:rsidRPr="004E67D0" w:rsidRDefault="00715B93" w:rsidP="00CE01CF">
      <w:pPr>
        <w:rPr>
          <w:b/>
        </w:rPr>
      </w:pPr>
      <w:r>
        <w:rPr>
          <w:b/>
        </w:rPr>
        <w:t xml:space="preserve">Proposal 2: </w:t>
      </w:r>
      <w:r w:rsidR="0076281C">
        <w:rPr>
          <w:b/>
        </w:rPr>
        <w:t xml:space="preserve">Alt3 is supported, i.e., </w:t>
      </w:r>
      <w:r w:rsidR="0076281C" w:rsidRPr="0076281C">
        <w:rPr>
          <w:b/>
          <w:bCs/>
          <w:lang w:eastAsia="x-none"/>
        </w:rPr>
        <w:t>gNB can request feedback outside the COT by PDSCH-to-HARQ-timing-indicator in the DCI scheduling the PDSCH</w:t>
      </w:r>
      <w:r w:rsidR="00401FB8">
        <w:rPr>
          <w:b/>
          <w:bCs/>
          <w:lang w:eastAsia="x-none"/>
        </w:rPr>
        <w:tab/>
      </w:r>
      <w:r w:rsidR="0076281C" w:rsidRPr="0076281C">
        <w:rPr>
          <w:b/>
          <w:bCs/>
          <w:lang w:eastAsia="x-none"/>
        </w:rPr>
        <w:t>.</w:t>
      </w:r>
      <w:r w:rsidR="004E67D0">
        <w:rPr>
          <w:b/>
          <w:bCs/>
          <w:lang w:eastAsia="x-none"/>
        </w:rPr>
        <w:t xml:space="preserve"> </w:t>
      </w:r>
      <w:r w:rsidR="004E67D0" w:rsidRPr="004E67D0">
        <w:rPr>
          <w:b/>
          <w:bCs/>
          <w:lang w:eastAsia="x-none"/>
        </w:rPr>
        <w:t xml:space="preserve">Cat-4 </w:t>
      </w:r>
      <w:r w:rsidR="00401FB8">
        <w:rPr>
          <w:b/>
          <w:bCs/>
          <w:lang w:eastAsia="x-none"/>
        </w:rPr>
        <w:t>LBT is assumed to be the COT-initiation</w:t>
      </w:r>
      <w:r w:rsidR="004E67D0" w:rsidRPr="004E67D0">
        <w:rPr>
          <w:b/>
          <w:bCs/>
          <w:lang w:eastAsia="x-none"/>
        </w:rPr>
        <w:t xml:space="preserve"> channel access mechanism for UE transmission of HARQ A/N feedback in this case.</w:t>
      </w:r>
    </w:p>
    <w:p w14:paraId="39CE8868" w14:textId="77777777" w:rsidR="00572B57" w:rsidRPr="00A22957" w:rsidRDefault="00572B57" w:rsidP="00CE01CF">
      <w:pPr>
        <w:rPr>
          <w:b/>
        </w:rPr>
      </w:pPr>
    </w:p>
    <w:p w14:paraId="1E21312F" w14:textId="3CD62283" w:rsidR="00096B50" w:rsidRDefault="0067178A" w:rsidP="00ED6DB9">
      <w:pPr>
        <w:pStyle w:val="Heading2"/>
      </w:pPr>
      <w:r>
        <w:t>Scheduling Enhancements</w:t>
      </w:r>
    </w:p>
    <w:p w14:paraId="22E183BB" w14:textId="2E7069CB" w:rsidR="00DB38BF" w:rsidRPr="00DB38BF" w:rsidRDefault="00DB38BF" w:rsidP="00DB38BF">
      <w:pPr>
        <w:pStyle w:val="Heading3"/>
      </w:pPr>
      <w:r>
        <w:t>Multi-TTI UL grant</w:t>
      </w:r>
    </w:p>
    <w:p w14:paraId="7DF6D2E1" w14:textId="77777777" w:rsidR="0067178A" w:rsidRDefault="0067178A" w:rsidP="007632E9">
      <w:pPr>
        <w:rPr>
          <w:b/>
        </w:rPr>
      </w:pPr>
    </w:p>
    <w:p w14:paraId="5D19EC77" w14:textId="7AE5ECCD" w:rsidR="004E67D0" w:rsidRPr="004E67D0" w:rsidRDefault="00125D11" w:rsidP="004E67D0">
      <w:r w:rsidRPr="00125D11">
        <w:t>Multi-TTI UL scheduling</w:t>
      </w:r>
      <w:r w:rsidR="004E67D0">
        <w:t xml:space="preserve"> was stated to be beneficial in TR 38.889 </w:t>
      </w:r>
      <w:r w:rsidR="004E67D0">
        <w:fldChar w:fldCharType="begin"/>
      </w:r>
      <w:r w:rsidR="004E67D0">
        <w:instrText xml:space="preserve"> REF _Ref955441 \r \h </w:instrText>
      </w:r>
      <w:r w:rsidR="004E67D0">
        <w:fldChar w:fldCharType="separate"/>
      </w:r>
      <w:r w:rsidR="004E67D0">
        <w:t>[3]</w:t>
      </w:r>
      <w:r w:rsidR="004E67D0">
        <w:fldChar w:fldCharType="end"/>
      </w:r>
      <w:r w:rsidR="004E67D0">
        <w:t xml:space="preserve">. From RAN1#95, </w:t>
      </w:r>
      <w:r w:rsidR="004E67D0" w:rsidRPr="004E67D0">
        <w:t>the previous agreement on multi-TTI scheduling implies that NR-U should at least support scheduling multiple TBs with different HARQ process IDs in multiple slots using a single UL grant.</w:t>
      </w:r>
      <w:r w:rsidR="004E67D0">
        <w:t xml:space="preserve"> Therefore, our interpretation of multi-TTI UL grant is the </w:t>
      </w:r>
      <w:r w:rsidR="004E67D0">
        <w:rPr>
          <w:rFonts w:eastAsia="SimSun"/>
          <w:lang w:eastAsia="zh-CN"/>
        </w:rPr>
        <w:t>scheduling multiple TTIs for PUSCH with different TBs.</w:t>
      </w:r>
    </w:p>
    <w:p w14:paraId="4BAFE13E" w14:textId="77777777" w:rsidR="00862292" w:rsidRDefault="00862292" w:rsidP="007632E9">
      <w:r>
        <w:lastRenderedPageBreak/>
        <w:t xml:space="preserve">In eLAA, the multi-subframe UL grant in DCI Format 0B/4B can schedule two or four contiguous UL subframes. However, NR-U is more agile in terms of channel occupancy and multiple DL-UL switches are possible within a COT. Therefore, gaps should be </w:t>
      </w:r>
      <w:r w:rsidR="001C1DB8">
        <w:t>allow</w:t>
      </w:r>
      <w:r>
        <w:t>ed</w:t>
      </w:r>
      <w:r w:rsidR="001C1DB8">
        <w:t xml:space="preserve"> </w:t>
      </w:r>
      <w:r>
        <w:t>in the UL slots scheduled via a</w:t>
      </w:r>
      <w:r w:rsidR="001C1DB8">
        <w:t xml:space="preserve"> multi-TTI grant. </w:t>
      </w:r>
      <w:r>
        <w:t>This can be beneficial in at least the following cases:</w:t>
      </w:r>
    </w:p>
    <w:p w14:paraId="609B7F7D" w14:textId="78C0E5E6" w:rsidR="00862292" w:rsidRDefault="00862292" w:rsidP="00862292">
      <w:pPr>
        <w:pStyle w:val="ListParagraph"/>
        <w:numPr>
          <w:ilvl w:val="0"/>
          <w:numId w:val="41"/>
        </w:numPr>
      </w:pPr>
      <w:r>
        <w:t>Cross-carrier scheduling where the scheduling cell indicates a multi-TTI grant on a serving cell with a U-D-U COT structure and the UE’s grant spans the first and second UL portions of the COT.</w:t>
      </w:r>
    </w:p>
    <w:p w14:paraId="509BFD0E" w14:textId="2E6DE535" w:rsidR="00862292" w:rsidRDefault="00862292" w:rsidP="00862292">
      <w:pPr>
        <w:pStyle w:val="ListParagraph"/>
        <w:numPr>
          <w:ilvl w:val="0"/>
          <w:numId w:val="41"/>
        </w:numPr>
      </w:pPr>
      <w:r>
        <w:t>Self-scheduling on a cell with a U-D-U COT structure and the UE’s grant spans the first and second UL portions of the COT, where the UL grant is transmitted in a previous COT.</w:t>
      </w:r>
    </w:p>
    <w:p w14:paraId="74843105" w14:textId="7727C65D" w:rsidR="00C15A1B" w:rsidRDefault="00C15A1B" w:rsidP="00862292">
      <w:pPr>
        <w:pStyle w:val="ListParagraph"/>
        <w:numPr>
          <w:ilvl w:val="0"/>
          <w:numId w:val="41"/>
        </w:numPr>
      </w:pPr>
      <w:r>
        <w:t>Self-scheduling on a cell with a D-U-D-U COT structure and the UE’s grant spans the first and second UL portions of the COT.</w:t>
      </w:r>
    </w:p>
    <w:p w14:paraId="08562BDC" w14:textId="62AE4ABA" w:rsidR="000A7025" w:rsidRPr="00125D11" w:rsidRDefault="00740437" w:rsidP="007632E9">
      <w:r>
        <w:t>If multiple UL grants are needed to schedule UL transmissions from the same UE in the above scenarios, then the utility of multi-TTI scheduling is greatly diminished. Furthermore, t</w:t>
      </w:r>
      <w:r w:rsidR="00862292">
        <w:t xml:space="preserve">here is no justification to </w:t>
      </w:r>
      <w:r w:rsidR="001C1DB8">
        <w:t xml:space="preserve">constrain </w:t>
      </w:r>
      <w:r>
        <w:t xml:space="preserve">multi-TTI </w:t>
      </w:r>
      <w:r w:rsidR="001C1DB8">
        <w:t>SUL more than AUL which can have non-contiguous UL slots configured in the</w:t>
      </w:r>
      <w:r w:rsidR="00862292">
        <w:t xml:space="preserve"> AUL resource</w:t>
      </w:r>
      <w:r>
        <w:t xml:space="preserve"> allocation (for e.g., via</w:t>
      </w:r>
      <w:r w:rsidR="00862292">
        <w:t xml:space="preserve"> bitmap</w:t>
      </w:r>
      <w:r>
        <w:t>)</w:t>
      </w:r>
      <w:r w:rsidR="00862292">
        <w:t>.</w:t>
      </w:r>
      <w:r>
        <w:t xml:space="preserve"> </w:t>
      </w:r>
      <w:r w:rsidR="000A7025">
        <w:t xml:space="preserve">How to indicate gaps in </w:t>
      </w:r>
      <w:r w:rsidR="00C15A1B">
        <w:t xml:space="preserve">the scheduled multiple </w:t>
      </w:r>
      <w:r w:rsidR="000A7025">
        <w:t xml:space="preserve">UL TTIs? </w:t>
      </w:r>
      <w:r w:rsidR="00C15A1B">
        <w:t>This can for example either be indicated directly in the DCI, or via a c</w:t>
      </w:r>
      <w:r w:rsidR="000A7025">
        <w:t xml:space="preserve">ombination of COT </w:t>
      </w:r>
      <w:r w:rsidR="001C1DB8">
        <w:t xml:space="preserve">structure </w:t>
      </w:r>
      <w:r w:rsidR="000A7025">
        <w:t>indication</w:t>
      </w:r>
      <w:r w:rsidR="00C15A1B">
        <w:t xml:space="preserve"> in GC-PDCCH</w:t>
      </w:r>
      <w:r w:rsidR="000A7025">
        <w:t xml:space="preserve"> and multi-TTI UL grant</w:t>
      </w:r>
      <w:r w:rsidR="00C15A1B">
        <w:t>.</w:t>
      </w:r>
    </w:p>
    <w:p w14:paraId="1B16B43E" w14:textId="28DDF3BD" w:rsidR="007632E9" w:rsidRDefault="00DB38BF" w:rsidP="007632E9">
      <w:pPr>
        <w:rPr>
          <w:b/>
          <w:bCs/>
          <w:lang w:eastAsia="x-none"/>
        </w:rPr>
      </w:pPr>
      <w:r>
        <w:rPr>
          <w:b/>
        </w:rPr>
        <w:t>Proposal 3</w:t>
      </w:r>
      <w:r w:rsidR="007632E9" w:rsidRPr="00BC290B">
        <w:rPr>
          <w:b/>
        </w:rPr>
        <w:t>:</w:t>
      </w:r>
      <w:r w:rsidR="00572B57">
        <w:rPr>
          <w:b/>
        </w:rPr>
        <w:t xml:space="preserve"> </w:t>
      </w:r>
      <w:r w:rsidR="00222CD5">
        <w:rPr>
          <w:b/>
        </w:rPr>
        <w:t xml:space="preserve"> </w:t>
      </w:r>
      <w:r w:rsidR="00C15A1B">
        <w:rPr>
          <w:b/>
        </w:rPr>
        <w:t xml:space="preserve">Multi-TTI UL grants can </w:t>
      </w:r>
      <w:r w:rsidR="00C15A1B" w:rsidRPr="00C15A1B">
        <w:rPr>
          <w:b/>
        </w:rPr>
        <w:t xml:space="preserve">indicate </w:t>
      </w:r>
      <w:r w:rsidR="00C15A1B" w:rsidRPr="00C15A1B">
        <w:rPr>
          <w:b/>
          <w:bCs/>
          <w:lang w:eastAsia="x-none"/>
        </w:rPr>
        <w:t>non-time-contiguous UL transmissions.</w:t>
      </w:r>
    </w:p>
    <w:p w14:paraId="5375BA34" w14:textId="77777777" w:rsidR="00740437" w:rsidRPr="00BC290B" w:rsidRDefault="00740437" w:rsidP="007632E9">
      <w:pPr>
        <w:rPr>
          <w:b/>
        </w:rPr>
      </w:pPr>
    </w:p>
    <w:p w14:paraId="0341D758" w14:textId="071079E2" w:rsidR="00ED6DB9" w:rsidRDefault="00125D11" w:rsidP="00DB38BF">
      <w:pPr>
        <w:pStyle w:val="Heading3"/>
      </w:pPr>
      <w:r>
        <w:t>Two-stage UL grant</w:t>
      </w:r>
    </w:p>
    <w:p w14:paraId="65DC584C" w14:textId="0D6FF3D3" w:rsidR="00C15A1B" w:rsidRDefault="00C15A1B" w:rsidP="00C15A1B">
      <w:r>
        <w:t>eLAA also contains a two-stage UL grant feature where an explicit trigger is used to indicate to UEs that their PUSCH transmission can take place. This feature is meant to circumvent the UL grant-to-PUSCH delay inherent in LTE. However, since the processing delay in NR is lower than LTE, the only scenario where this feature could be useful is in a mixed slot where the trigger is sent in the DL mini-slot portion to trigger PUSCH in the UL mini-slot. Given the additional complexities in NR-U such as sub-symbol starting positions, multiple starting symbols and gap-dependent LBT, we believe two-stage grants are not a necessary feature.</w:t>
      </w:r>
    </w:p>
    <w:p w14:paraId="1AE98F51" w14:textId="0D2BC99B" w:rsidR="00C15A1B" w:rsidRPr="00C15A1B" w:rsidRDefault="00C15A1B" w:rsidP="00C15A1B">
      <w:pPr>
        <w:rPr>
          <w:b/>
        </w:rPr>
      </w:pPr>
      <w:r w:rsidRPr="00C15A1B">
        <w:rPr>
          <w:b/>
        </w:rPr>
        <w:t>Proposal 4: Two-stage UL grants are not supported in NR-U.</w:t>
      </w:r>
    </w:p>
    <w:p w14:paraId="1F78EFE1" w14:textId="04B89D57" w:rsidR="003705DD" w:rsidRDefault="003705DD" w:rsidP="00AA62E3">
      <w:pPr>
        <w:pStyle w:val="Heading1"/>
      </w:pPr>
      <w:r>
        <w:t>Summary</w:t>
      </w:r>
    </w:p>
    <w:p w14:paraId="4293B9F9" w14:textId="3FF01682" w:rsidR="0053586B" w:rsidRDefault="003705DD" w:rsidP="0053586B">
      <w:r>
        <w:t>In this</w:t>
      </w:r>
      <w:r w:rsidR="00575CB3">
        <w:t xml:space="preserve"> contribution</w:t>
      </w:r>
      <w:r w:rsidR="00877963">
        <w:t xml:space="preserve"> we examined</w:t>
      </w:r>
      <w:r w:rsidR="0067178A">
        <w:t xml:space="preserve"> </w:t>
      </w:r>
      <w:r w:rsidR="00EE5745">
        <w:t>HARQ enhancements and UL scheduling for NR-U</w:t>
      </w:r>
      <w:r w:rsidR="00575CB3">
        <w:t xml:space="preserve">. The following </w:t>
      </w:r>
      <w:bookmarkStart w:id="4" w:name="_GoBack"/>
      <w:bookmarkEnd w:id="4"/>
      <w:r w:rsidR="00575CB3">
        <w:t>proposals ensued.</w:t>
      </w:r>
    </w:p>
    <w:p w14:paraId="610D2195" w14:textId="77777777" w:rsidR="00EE5745" w:rsidRDefault="00EE5745" w:rsidP="00EE5745">
      <w:pPr>
        <w:rPr>
          <w:b/>
        </w:rPr>
      </w:pPr>
      <w:r>
        <w:rPr>
          <w:b/>
        </w:rPr>
        <w:t>Proposal</w:t>
      </w:r>
      <w:r w:rsidRPr="00A22957">
        <w:rPr>
          <w:b/>
        </w:rPr>
        <w:t xml:space="preserve"> 1:</w:t>
      </w:r>
      <w:r>
        <w:rPr>
          <w:b/>
        </w:rPr>
        <w:t xml:space="preserve"> </w:t>
      </w:r>
      <w:r w:rsidRPr="00A22957">
        <w:rPr>
          <w:b/>
        </w:rPr>
        <w:t xml:space="preserve"> </w:t>
      </w:r>
      <w:r>
        <w:rPr>
          <w:b/>
        </w:rPr>
        <w:t xml:space="preserve">Alt2 </w:t>
      </w:r>
      <w:r w:rsidRPr="00715B93">
        <w:rPr>
          <w:b/>
        </w:rPr>
        <w:t xml:space="preserve">should be discussed in the context of configured grant enhancements, and a separate operational mode for </w:t>
      </w:r>
      <w:r>
        <w:rPr>
          <w:b/>
        </w:rPr>
        <w:t xml:space="preserve">autonomous </w:t>
      </w:r>
      <w:r w:rsidRPr="00715B93">
        <w:rPr>
          <w:b/>
        </w:rPr>
        <w:t>HARQ ACK/NACK feedback is not necessary.</w:t>
      </w:r>
    </w:p>
    <w:p w14:paraId="4FCE4019" w14:textId="77777777" w:rsidR="00EE5745" w:rsidRPr="004E67D0" w:rsidRDefault="00EE5745" w:rsidP="00EE5745">
      <w:pPr>
        <w:rPr>
          <w:b/>
        </w:rPr>
      </w:pPr>
      <w:r>
        <w:rPr>
          <w:b/>
        </w:rPr>
        <w:t xml:space="preserve">Proposal 2: Alt3 is supported, i.e., </w:t>
      </w:r>
      <w:r w:rsidRPr="0076281C">
        <w:rPr>
          <w:b/>
          <w:bCs/>
          <w:lang w:eastAsia="x-none"/>
        </w:rPr>
        <w:t>gNB can request feedback outside the COT by PDSCH-to-HARQ-timing-indicator in the DCI scheduling the PDSCH</w:t>
      </w:r>
      <w:r>
        <w:rPr>
          <w:b/>
          <w:bCs/>
          <w:lang w:eastAsia="x-none"/>
        </w:rPr>
        <w:tab/>
      </w:r>
      <w:r w:rsidRPr="0076281C">
        <w:rPr>
          <w:b/>
          <w:bCs/>
          <w:lang w:eastAsia="x-none"/>
        </w:rPr>
        <w:t>.</w:t>
      </w:r>
      <w:r>
        <w:rPr>
          <w:b/>
          <w:bCs/>
          <w:lang w:eastAsia="x-none"/>
        </w:rPr>
        <w:t xml:space="preserve"> </w:t>
      </w:r>
      <w:r w:rsidRPr="004E67D0">
        <w:rPr>
          <w:b/>
          <w:bCs/>
          <w:lang w:eastAsia="x-none"/>
        </w:rPr>
        <w:t xml:space="preserve">Cat-4 </w:t>
      </w:r>
      <w:r>
        <w:rPr>
          <w:b/>
          <w:bCs/>
          <w:lang w:eastAsia="x-none"/>
        </w:rPr>
        <w:t>LBT is assumed to be the COT-initiation</w:t>
      </w:r>
      <w:r w:rsidRPr="004E67D0">
        <w:rPr>
          <w:b/>
          <w:bCs/>
          <w:lang w:eastAsia="x-none"/>
        </w:rPr>
        <w:t xml:space="preserve"> channel access mechanism for UE transmission of HARQ A/N feedback in this case.</w:t>
      </w:r>
    </w:p>
    <w:p w14:paraId="150606C3" w14:textId="77777777" w:rsidR="00EE5745" w:rsidRPr="00BC290B" w:rsidRDefault="00EE5745" w:rsidP="00EE5745">
      <w:pPr>
        <w:rPr>
          <w:b/>
        </w:rPr>
      </w:pPr>
      <w:r>
        <w:rPr>
          <w:b/>
        </w:rPr>
        <w:t>Proposal 3</w:t>
      </w:r>
      <w:r w:rsidRPr="00BC290B">
        <w:rPr>
          <w:b/>
        </w:rPr>
        <w:t>:</w:t>
      </w:r>
      <w:r>
        <w:rPr>
          <w:b/>
        </w:rPr>
        <w:t xml:space="preserve">  Multi-TTI UL grants can </w:t>
      </w:r>
      <w:r w:rsidRPr="00C15A1B">
        <w:rPr>
          <w:b/>
        </w:rPr>
        <w:t xml:space="preserve">indicate </w:t>
      </w:r>
      <w:r w:rsidRPr="00C15A1B">
        <w:rPr>
          <w:b/>
          <w:bCs/>
          <w:lang w:eastAsia="x-none"/>
        </w:rPr>
        <w:t>non-time-contiguous UL transmissions.</w:t>
      </w:r>
    </w:p>
    <w:p w14:paraId="231C693A" w14:textId="77777777" w:rsidR="00EE5745" w:rsidRPr="00C15A1B" w:rsidRDefault="00EE5745" w:rsidP="00EE5745">
      <w:pPr>
        <w:rPr>
          <w:b/>
        </w:rPr>
      </w:pPr>
      <w:r w:rsidRPr="00C15A1B">
        <w:rPr>
          <w:b/>
        </w:rPr>
        <w:t>Proposal 4: Two-stage UL grants are not supported in NR-U.</w:t>
      </w:r>
    </w:p>
    <w:p w14:paraId="08D402D3" w14:textId="77777777" w:rsidR="00877963" w:rsidRDefault="00877963" w:rsidP="0053586B">
      <w:pPr>
        <w:rPr>
          <w:b/>
        </w:rPr>
      </w:pPr>
    </w:p>
    <w:p w14:paraId="6B17445A" w14:textId="1E4EA44E" w:rsidR="00257F9A" w:rsidRDefault="00F67C2E" w:rsidP="00F67C2E">
      <w:pPr>
        <w:pStyle w:val="Heading1"/>
      </w:pPr>
      <w:r>
        <w:t>Reference</w:t>
      </w:r>
      <w:r w:rsidR="00017FFD">
        <w:t>s</w:t>
      </w:r>
    </w:p>
    <w:p w14:paraId="209324DE" w14:textId="70AF120F" w:rsidR="00CE01CF" w:rsidRDefault="00CE01CF" w:rsidP="00CE01CF">
      <w:pPr>
        <w:pStyle w:val="ListParagraph"/>
        <w:numPr>
          <w:ilvl w:val="0"/>
          <w:numId w:val="15"/>
        </w:numPr>
        <w:spacing w:before="0" w:after="180"/>
        <w:jc w:val="left"/>
        <w:rPr>
          <w:rFonts w:eastAsia="SimSun"/>
          <w:color w:val="000000"/>
          <w:lang w:eastAsia="zh-CN"/>
        </w:rPr>
      </w:pPr>
      <w:r w:rsidRPr="00CE01CF">
        <w:rPr>
          <w:rFonts w:eastAsia="SimSun"/>
          <w:color w:val="000000"/>
          <w:lang w:eastAsia="zh-CN"/>
        </w:rPr>
        <w:t>RP-182878</w:t>
      </w:r>
      <w:r>
        <w:rPr>
          <w:rFonts w:eastAsia="SimSun"/>
          <w:color w:val="000000"/>
          <w:lang w:eastAsia="zh-CN"/>
        </w:rPr>
        <w:t xml:space="preserve">, </w:t>
      </w:r>
      <w:r w:rsidRPr="00CE01CF">
        <w:rPr>
          <w:rFonts w:eastAsia="SimSun"/>
          <w:color w:val="000000"/>
          <w:lang w:eastAsia="zh-CN"/>
        </w:rPr>
        <w:t>New WID on NR-based Access to Unlicensed Spectrum</w:t>
      </w:r>
      <w:r>
        <w:rPr>
          <w:rFonts w:eastAsia="SimSun"/>
          <w:color w:val="000000"/>
          <w:lang w:eastAsia="zh-CN"/>
        </w:rPr>
        <w:t>, RAN#82</w:t>
      </w:r>
    </w:p>
    <w:p w14:paraId="08164B93" w14:textId="3E5F705A" w:rsidR="00017FFD" w:rsidRDefault="00017FFD" w:rsidP="00CE01CF">
      <w:pPr>
        <w:pStyle w:val="ListParagraph"/>
        <w:numPr>
          <w:ilvl w:val="0"/>
          <w:numId w:val="15"/>
        </w:numPr>
        <w:spacing w:before="0" w:after="180"/>
        <w:jc w:val="left"/>
        <w:rPr>
          <w:rFonts w:eastAsia="SimSun"/>
          <w:color w:val="000000"/>
          <w:lang w:eastAsia="zh-CN"/>
        </w:rPr>
      </w:pPr>
      <w:bookmarkStart w:id="5" w:name="_Ref878098"/>
      <w:r>
        <w:rPr>
          <w:rFonts w:eastAsia="SimSun"/>
          <w:color w:val="000000"/>
          <w:lang w:eastAsia="zh-CN"/>
        </w:rPr>
        <w:t>Chairman’s Notes, RAN1#1901 ad hoc, January 2019.</w:t>
      </w:r>
      <w:bookmarkEnd w:id="5"/>
    </w:p>
    <w:p w14:paraId="066263E7" w14:textId="3C35EB95" w:rsidR="0078042F" w:rsidRDefault="0078042F" w:rsidP="0078042F">
      <w:pPr>
        <w:pStyle w:val="ListParagraph"/>
        <w:numPr>
          <w:ilvl w:val="0"/>
          <w:numId w:val="15"/>
        </w:numPr>
        <w:spacing w:before="0" w:after="180"/>
        <w:jc w:val="left"/>
        <w:rPr>
          <w:rFonts w:eastAsia="SimSun"/>
          <w:color w:val="000000"/>
          <w:lang w:eastAsia="zh-CN"/>
        </w:rPr>
      </w:pPr>
      <w:r>
        <w:rPr>
          <w:rFonts w:eastAsia="SimSun"/>
          <w:color w:val="000000"/>
          <w:lang w:eastAsia="zh-CN"/>
        </w:rPr>
        <w:t>Chairman’s Notes, RAN1#96, February 2019.</w:t>
      </w:r>
    </w:p>
    <w:p w14:paraId="3300D296" w14:textId="77777777" w:rsidR="00017FFD" w:rsidRDefault="00CE01CF" w:rsidP="009D3E83">
      <w:pPr>
        <w:pStyle w:val="ListParagraph"/>
        <w:numPr>
          <w:ilvl w:val="0"/>
          <w:numId w:val="15"/>
        </w:numPr>
        <w:spacing w:before="0" w:after="180"/>
        <w:jc w:val="left"/>
        <w:rPr>
          <w:rFonts w:eastAsia="SimSun"/>
          <w:color w:val="000000"/>
          <w:lang w:eastAsia="zh-CN"/>
        </w:rPr>
      </w:pPr>
      <w:bookmarkStart w:id="6" w:name="_Ref534795942"/>
      <w:bookmarkStart w:id="7" w:name="_Ref955441"/>
      <w:r w:rsidRPr="00017FFD">
        <w:rPr>
          <w:rFonts w:eastAsia="SimSun"/>
          <w:color w:val="000000"/>
          <w:lang w:eastAsia="zh-CN"/>
        </w:rPr>
        <w:t>TR 38.889</w:t>
      </w:r>
      <w:r w:rsidR="00ED6DB9" w:rsidRPr="00017FFD">
        <w:rPr>
          <w:rFonts w:eastAsia="SimSun"/>
          <w:color w:val="000000"/>
          <w:lang w:eastAsia="zh-CN"/>
        </w:rPr>
        <w:t xml:space="preserve"> v16.0.0</w:t>
      </w:r>
      <w:r w:rsidRPr="00017FFD">
        <w:rPr>
          <w:rFonts w:eastAsia="SimSun"/>
          <w:color w:val="000000"/>
          <w:lang w:eastAsia="zh-CN"/>
        </w:rPr>
        <w:t>,</w:t>
      </w:r>
      <w:bookmarkEnd w:id="6"/>
      <w:r w:rsidR="00ED6DB9" w:rsidRPr="00017FFD">
        <w:rPr>
          <w:rFonts w:eastAsia="SimSun"/>
          <w:color w:val="000000"/>
          <w:lang w:eastAsia="zh-CN"/>
        </w:rPr>
        <w:t xml:space="preserve"> Study on NR-based access to unlicensed spectrum, (Release 16)</w:t>
      </w:r>
      <w:bookmarkEnd w:id="7"/>
      <w:r w:rsidRPr="00017FFD">
        <w:rPr>
          <w:rFonts w:eastAsia="SimSun"/>
          <w:color w:val="000000"/>
          <w:lang w:eastAsia="zh-CN"/>
        </w:rPr>
        <w:t xml:space="preserve"> </w:t>
      </w:r>
    </w:p>
    <w:p w14:paraId="08DB8E72" w14:textId="21429E03" w:rsidR="00B17EEB" w:rsidRPr="00017FFD" w:rsidRDefault="00017FFD" w:rsidP="009D3E83">
      <w:pPr>
        <w:pStyle w:val="ListParagraph"/>
        <w:numPr>
          <w:ilvl w:val="0"/>
          <w:numId w:val="15"/>
        </w:numPr>
        <w:spacing w:before="0" w:after="180"/>
        <w:jc w:val="left"/>
        <w:rPr>
          <w:rFonts w:eastAsia="SimSun"/>
          <w:color w:val="000000"/>
          <w:lang w:eastAsia="zh-CN"/>
        </w:rPr>
      </w:pPr>
      <w:bookmarkStart w:id="8" w:name="_Ref878141"/>
      <w:r w:rsidRPr="00017FFD">
        <w:rPr>
          <w:rFonts w:eastAsia="SimSun"/>
          <w:color w:val="000000"/>
          <w:lang w:eastAsia="zh-CN"/>
        </w:rPr>
        <w:t>R1-190</w:t>
      </w:r>
      <w:r w:rsidR="0078042F">
        <w:rPr>
          <w:rFonts w:eastAsia="SimSun"/>
          <w:color w:val="000000"/>
          <w:lang w:eastAsia="zh-CN"/>
        </w:rPr>
        <w:t>3423</w:t>
      </w:r>
      <w:r w:rsidR="0067178A">
        <w:rPr>
          <w:rFonts w:eastAsia="SimSun"/>
          <w:color w:val="000000"/>
          <w:lang w:eastAsia="zh-CN"/>
        </w:rPr>
        <w:t xml:space="preserve">, </w:t>
      </w:r>
      <w:r w:rsidRPr="00017FFD">
        <w:rPr>
          <w:rFonts w:eastAsia="SimSun"/>
          <w:color w:val="000000"/>
          <w:lang w:eastAsia="zh-CN"/>
        </w:rPr>
        <w:t>Feature lead summary of HARQ enhancements for NR-U</w:t>
      </w:r>
      <w:r w:rsidR="0067178A">
        <w:rPr>
          <w:rFonts w:eastAsia="SimSun"/>
          <w:color w:val="000000"/>
          <w:lang w:eastAsia="zh-CN"/>
        </w:rPr>
        <w:t xml:space="preserve">, </w:t>
      </w:r>
      <w:r w:rsidRPr="00017FFD">
        <w:rPr>
          <w:rFonts w:eastAsia="SimSun"/>
          <w:color w:val="000000"/>
          <w:lang w:eastAsia="zh-CN"/>
        </w:rPr>
        <w:t>Huawei</w:t>
      </w:r>
      <w:bookmarkEnd w:id="8"/>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8FA22" w14:textId="77777777" w:rsidR="006731F0" w:rsidRDefault="006731F0" w:rsidP="00424124">
      <w:pPr>
        <w:spacing w:before="0" w:after="0"/>
      </w:pPr>
      <w:r>
        <w:separator/>
      </w:r>
    </w:p>
  </w:endnote>
  <w:endnote w:type="continuationSeparator" w:id="0">
    <w:p w14:paraId="6EF186E9" w14:textId="77777777" w:rsidR="006731F0" w:rsidRDefault="006731F0"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8855E" w14:textId="77777777" w:rsidR="006731F0" w:rsidRDefault="006731F0" w:rsidP="00424124">
      <w:pPr>
        <w:spacing w:before="0" w:after="0"/>
      </w:pPr>
      <w:r>
        <w:separator/>
      </w:r>
    </w:p>
  </w:footnote>
  <w:footnote w:type="continuationSeparator" w:id="0">
    <w:p w14:paraId="6D63EA33" w14:textId="77777777" w:rsidR="006731F0" w:rsidRDefault="006731F0"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51F26"/>
    <w:multiLevelType w:val="hybridMultilevel"/>
    <w:tmpl w:val="E7621C5E"/>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E0C7224"/>
    <w:multiLevelType w:val="hybridMultilevel"/>
    <w:tmpl w:val="2B0A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E164BD"/>
    <w:multiLevelType w:val="hybridMultilevel"/>
    <w:tmpl w:val="C67A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761266"/>
    <w:multiLevelType w:val="hybridMultilevel"/>
    <w:tmpl w:val="1862E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6"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9"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31"/>
  </w:num>
  <w:num w:numId="4">
    <w:abstractNumId w:val="2"/>
  </w:num>
  <w:num w:numId="5">
    <w:abstractNumId w:val="38"/>
  </w:num>
  <w:num w:numId="6">
    <w:abstractNumId w:val="35"/>
  </w:num>
  <w:num w:numId="7">
    <w:abstractNumId w:val="3"/>
  </w:num>
  <w:num w:numId="8">
    <w:abstractNumId w:val="14"/>
  </w:num>
  <w:num w:numId="9">
    <w:abstractNumId w:val="37"/>
  </w:num>
  <w:num w:numId="10">
    <w:abstractNumId w:val="11"/>
  </w:num>
  <w:num w:numId="11">
    <w:abstractNumId w:val="10"/>
  </w:num>
  <w:num w:numId="12">
    <w:abstractNumId w:val="17"/>
  </w:num>
  <w:num w:numId="13">
    <w:abstractNumId w:val="23"/>
  </w:num>
  <w:num w:numId="14">
    <w:abstractNumId w:val="29"/>
  </w:num>
  <w:num w:numId="15">
    <w:abstractNumId w:val="5"/>
  </w:num>
  <w:num w:numId="16">
    <w:abstractNumId w:val="19"/>
  </w:num>
  <w:num w:numId="17">
    <w:abstractNumId w:val="31"/>
  </w:num>
  <w:num w:numId="18">
    <w:abstractNumId w:val="31"/>
  </w:num>
  <w:num w:numId="19">
    <w:abstractNumId w:val="21"/>
  </w:num>
  <w:num w:numId="20">
    <w:abstractNumId w:val="12"/>
  </w:num>
  <w:num w:numId="21">
    <w:abstractNumId w:val="1"/>
  </w:num>
  <w:num w:numId="22">
    <w:abstractNumId w:val="30"/>
  </w:num>
  <w:num w:numId="23">
    <w:abstractNumId w:val="33"/>
  </w:num>
  <w:num w:numId="24">
    <w:abstractNumId w:val="39"/>
  </w:num>
  <w:num w:numId="25">
    <w:abstractNumId w:val="13"/>
  </w:num>
  <w:num w:numId="26">
    <w:abstractNumId w:val="20"/>
  </w:num>
  <w:num w:numId="27">
    <w:abstractNumId w:val="9"/>
  </w:num>
  <w:num w:numId="28">
    <w:abstractNumId w:val="0"/>
  </w:num>
  <w:num w:numId="29">
    <w:abstractNumId w:val="16"/>
  </w:num>
  <w:num w:numId="30">
    <w:abstractNumId w:val="22"/>
  </w:num>
  <w:num w:numId="31">
    <w:abstractNumId w:val="25"/>
  </w:num>
  <w:num w:numId="32">
    <w:abstractNumId w:val="18"/>
  </w:num>
  <w:num w:numId="33">
    <w:abstractNumId w:val="32"/>
  </w:num>
  <w:num w:numId="34">
    <w:abstractNumId w:val="27"/>
  </w:num>
  <w:num w:numId="35">
    <w:abstractNumId w:val="34"/>
  </w:num>
  <w:num w:numId="36">
    <w:abstractNumId w:val="8"/>
  </w:num>
  <w:num w:numId="37">
    <w:abstractNumId w:val="28"/>
  </w:num>
  <w:num w:numId="38">
    <w:abstractNumId w:val="15"/>
  </w:num>
  <w:num w:numId="39">
    <w:abstractNumId w:val="4"/>
  </w:num>
  <w:num w:numId="40">
    <w:abstractNumId w:val="36"/>
  </w:num>
  <w:num w:numId="41">
    <w:abstractNumId w:val="26"/>
  </w:num>
  <w:num w:numId="4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17FFD"/>
    <w:rsid w:val="00020F1A"/>
    <w:rsid w:val="00021B12"/>
    <w:rsid w:val="0002241D"/>
    <w:rsid w:val="0002554E"/>
    <w:rsid w:val="0003164E"/>
    <w:rsid w:val="00032D47"/>
    <w:rsid w:val="00043E82"/>
    <w:rsid w:val="00045166"/>
    <w:rsid w:val="000463E4"/>
    <w:rsid w:val="00050ECD"/>
    <w:rsid w:val="00051B4B"/>
    <w:rsid w:val="0005287A"/>
    <w:rsid w:val="00053101"/>
    <w:rsid w:val="000541BF"/>
    <w:rsid w:val="0005488F"/>
    <w:rsid w:val="000550BC"/>
    <w:rsid w:val="000643FA"/>
    <w:rsid w:val="000730C9"/>
    <w:rsid w:val="0007575F"/>
    <w:rsid w:val="00075C88"/>
    <w:rsid w:val="00075FD1"/>
    <w:rsid w:val="0007622C"/>
    <w:rsid w:val="00080F03"/>
    <w:rsid w:val="00085800"/>
    <w:rsid w:val="0008625B"/>
    <w:rsid w:val="000865E3"/>
    <w:rsid w:val="000917C5"/>
    <w:rsid w:val="00093068"/>
    <w:rsid w:val="00096B50"/>
    <w:rsid w:val="000977EE"/>
    <w:rsid w:val="000A36A9"/>
    <w:rsid w:val="000A7025"/>
    <w:rsid w:val="000B0720"/>
    <w:rsid w:val="000B62EA"/>
    <w:rsid w:val="000B6D99"/>
    <w:rsid w:val="000C57B9"/>
    <w:rsid w:val="000D2643"/>
    <w:rsid w:val="000D38DC"/>
    <w:rsid w:val="000E29D8"/>
    <w:rsid w:val="000E5F17"/>
    <w:rsid w:val="000F41B9"/>
    <w:rsid w:val="000F6524"/>
    <w:rsid w:val="0010303E"/>
    <w:rsid w:val="00104F9A"/>
    <w:rsid w:val="00111F1B"/>
    <w:rsid w:val="0011327D"/>
    <w:rsid w:val="0011368E"/>
    <w:rsid w:val="00116DA6"/>
    <w:rsid w:val="00125D11"/>
    <w:rsid w:val="00134683"/>
    <w:rsid w:val="00137904"/>
    <w:rsid w:val="0014178F"/>
    <w:rsid w:val="001417A8"/>
    <w:rsid w:val="00153793"/>
    <w:rsid w:val="00156D74"/>
    <w:rsid w:val="00167D68"/>
    <w:rsid w:val="00172743"/>
    <w:rsid w:val="00174B69"/>
    <w:rsid w:val="001775C4"/>
    <w:rsid w:val="0018672E"/>
    <w:rsid w:val="001937A9"/>
    <w:rsid w:val="001941FB"/>
    <w:rsid w:val="00197607"/>
    <w:rsid w:val="001A34BE"/>
    <w:rsid w:val="001A5A68"/>
    <w:rsid w:val="001A6212"/>
    <w:rsid w:val="001A75E0"/>
    <w:rsid w:val="001B731B"/>
    <w:rsid w:val="001C07DC"/>
    <w:rsid w:val="001C1DB8"/>
    <w:rsid w:val="001C699C"/>
    <w:rsid w:val="001E0CE1"/>
    <w:rsid w:val="001E58CC"/>
    <w:rsid w:val="001F4CF3"/>
    <w:rsid w:val="001F59ED"/>
    <w:rsid w:val="0021123D"/>
    <w:rsid w:val="00211D37"/>
    <w:rsid w:val="00212204"/>
    <w:rsid w:val="00216763"/>
    <w:rsid w:val="00216DF5"/>
    <w:rsid w:val="00220E3A"/>
    <w:rsid w:val="002211DE"/>
    <w:rsid w:val="00222269"/>
    <w:rsid w:val="00222813"/>
    <w:rsid w:val="00222CD5"/>
    <w:rsid w:val="00223678"/>
    <w:rsid w:val="00233D70"/>
    <w:rsid w:val="00235373"/>
    <w:rsid w:val="00237A75"/>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4677"/>
    <w:rsid w:val="00274CFD"/>
    <w:rsid w:val="002759D2"/>
    <w:rsid w:val="00276ACF"/>
    <w:rsid w:val="0028740C"/>
    <w:rsid w:val="002879EB"/>
    <w:rsid w:val="0029147A"/>
    <w:rsid w:val="00294DE0"/>
    <w:rsid w:val="00297225"/>
    <w:rsid w:val="002A005E"/>
    <w:rsid w:val="002A0226"/>
    <w:rsid w:val="002A0270"/>
    <w:rsid w:val="002A1134"/>
    <w:rsid w:val="002B770A"/>
    <w:rsid w:val="002C0488"/>
    <w:rsid w:val="002C2227"/>
    <w:rsid w:val="002C4097"/>
    <w:rsid w:val="002C6BAC"/>
    <w:rsid w:val="002C7511"/>
    <w:rsid w:val="002D0CCE"/>
    <w:rsid w:val="002D3D42"/>
    <w:rsid w:val="002D479B"/>
    <w:rsid w:val="002D59EA"/>
    <w:rsid w:val="002D6DFE"/>
    <w:rsid w:val="002D6EC9"/>
    <w:rsid w:val="002D787B"/>
    <w:rsid w:val="002E0939"/>
    <w:rsid w:val="002E1960"/>
    <w:rsid w:val="002E6296"/>
    <w:rsid w:val="002F12DF"/>
    <w:rsid w:val="002F323E"/>
    <w:rsid w:val="002F3A3B"/>
    <w:rsid w:val="002F5136"/>
    <w:rsid w:val="00313064"/>
    <w:rsid w:val="00315DC4"/>
    <w:rsid w:val="00317020"/>
    <w:rsid w:val="003179BB"/>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58B1"/>
    <w:rsid w:val="00366EFE"/>
    <w:rsid w:val="003705DD"/>
    <w:rsid w:val="003727DB"/>
    <w:rsid w:val="00377097"/>
    <w:rsid w:val="00382C0D"/>
    <w:rsid w:val="00386642"/>
    <w:rsid w:val="003921D6"/>
    <w:rsid w:val="00392E82"/>
    <w:rsid w:val="003A1896"/>
    <w:rsid w:val="003A298A"/>
    <w:rsid w:val="003A553B"/>
    <w:rsid w:val="003A566A"/>
    <w:rsid w:val="003B1EC9"/>
    <w:rsid w:val="003B4530"/>
    <w:rsid w:val="003C2392"/>
    <w:rsid w:val="003C2E75"/>
    <w:rsid w:val="003D70AA"/>
    <w:rsid w:val="003E1304"/>
    <w:rsid w:val="003E6192"/>
    <w:rsid w:val="003E7121"/>
    <w:rsid w:val="003E7D22"/>
    <w:rsid w:val="003F0731"/>
    <w:rsid w:val="003F2A73"/>
    <w:rsid w:val="003F33B4"/>
    <w:rsid w:val="003F63ED"/>
    <w:rsid w:val="00401C75"/>
    <w:rsid w:val="00401FB8"/>
    <w:rsid w:val="00405F6D"/>
    <w:rsid w:val="004075BA"/>
    <w:rsid w:val="004137D5"/>
    <w:rsid w:val="004146B7"/>
    <w:rsid w:val="00424124"/>
    <w:rsid w:val="00426B8E"/>
    <w:rsid w:val="00427BEF"/>
    <w:rsid w:val="00434212"/>
    <w:rsid w:val="00434A4B"/>
    <w:rsid w:val="004364F4"/>
    <w:rsid w:val="004372E5"/>
    <w:rsid w:val="00440F6E"/>
    <w:rsid w:val="00443645"/>
    <w:rsid w:val="00443CD6"/>
    <w:rsid w:val="00446BF2"/>
    <w:rsid w:val="00453805"/>
    <w:rsid w:val="004539BD"/>
    <w:rsid w:val="004547B0"/>
    <w:rsid w:val="004552C9"/>
    <w:rsid w:val="004567F3"/>
    <w:rsid w:val="0045714E"/>
    <w:rsid w:val="004607AC"/>
    <w:rsid w:val="0046127E"/>
    <w:rsid w:val="004626B7"/>
    <w:rsid w:val="004678E1"/>
    <w:rsid w:val="00473281"/>
    <w:rsid w:val="00473586"/>
    <w:rsid w:val="00473B68"/>
    <w:rsid w:val="00475FA6"/>
    <w:rsid w:val="0047618F"/>
    <w:rsid w:val="00482B14"/>
    <w:rsid w:val="0048301B"/>
    <w:rsid w:val="00483115"/>
    <w:rsid w:val="00493033"/>
    <w:rsid w:val="00493BD6"/>
    <w:rsid w:val="00496EAE"/>
    <w:rsid w:val="004A5ABE"/>
    <w:rsid w:val="004A6424"/>
    <w:rsid w:val="004A69D0"/>
    <w:rsid w:val="004A6A82"/>
    <w:rsid w:val="004B6AA8"/>
    <w:rsid w:val="004B6E00"/>
    <w:rsid w:val="004C186B"/>
    <w:rsid w:val="004C3F2E"/>
    <w:rsid w:val="004C4314"/>
    <w:rsid w:val="004C4856"/>
    <w:rsid w:val="004C7784"/>
    <w:rsid w:val="004D58F6"/>
    <w:rsid w:val="004D6971"/>
    <w:rsid w:val="004D7227"/>
    <w:rsid w:val="004D780D"/>
    <w:rsid w:val="004D7CF8"/>
    <w:rsid w:val="004E67D0"/>
    <w:rsid w:val="004E6BC0"/>
    <w:rsid w:val="004E6D3B"/>
    <w:rsid w:val="004F264D"/>
    <w:rsid w:val="004F4495"/>
    <w:rsid w:val="004F79FA"/>
    <w:rsid w:val="005055A6"/>
    <w:rsid w:val="00507060"/>
    <w:rsid w:val="0051179B"/>
    <w:rsid w:val="0051424F"/>
    <w:rsid w:val="00522DDD"/>
    <w:rsid w:val="00523623"/>
    <w:rsid w:val="005259A3"/>
    <w:rsid w:val="005267DB"/>
    <w:rsid w:val="00526CF5"/>
    <w:rsid w:val="00530CB9"/>
    <w:rsid w:val="0053586B"/>
    <w:rsid w:val="0054400A"/>
    <w:rsid w:val="00551A40"/>
    <w:rsid w:val="005553CE"/>
    <w:rsid w:val="0056238B"/>
    <w:rsid w:val="00565BDB"/>
    <w:rsid w:val="00566D34"/>
    <w:rsid w:val="005700A9"/>
    <w:rsid w:val="0057145F"/>
    <w:rsid w:val="00572B57"/>
    <w:rsid w:val="005758E7"/>
    <w:rsid w:val="00575CB3"/>
    <w:rsid w:val="005778C8"/>
    <w:rsid w:val="0058113E"/>
    <w:rsid w:val="0058120D"/>
    <w:rsid w:val="00582E47"/>
    <w:rsid w:val="00583D11"/>
    <w:rsid w:val="0059634F"/>
    <w:rsid w:val="005B0B01"/>
    <w:rsid w:val="005B4697"/>
    <w:rsid w:val="005B47BD"/>
    <w:rsid w:val="005B6FA6"/>
    <w:rsid w:val="005D2C51"/>
    <w:rsid w:val="005F613D"/>
    <w:rsid w:val="005F6B0A"/>
    <w:rsid w:val="005F6EBB"/>
    <w:rsid w:val="0060256B"/>
    <w:rsid w:val="00603015"/>
    <w:rsid w:val="0060603E"/>
    <w:rsid w:val="00612E22"/>
    <w:rsid w:val="006325F6"/>
    <w:rsid w:val="0063350A"/>
    <w:rsid w:val="00634707"/>
    <w:rsid w:val="0063597B"/>
    <w:rsid w:val="006375EC"/>
    <w:rsid w:val="006378CA"/>
    <w:rsid w:val="00637D76"/>
    <w:rsid w:val="00641FF0"/>
    <w:rsid w:val="00644034"/>
    <w:rsid w:val="00652AC8"/>
    <w:rsid w:val="0066157D"/>
    <w:rsid w:val="0067178A"/>
    <w:rsid w:val="00671A08"/>
    <w:rsid w:val="00672B47"/>
    <w:rsid w:val="0067313E"/>
    <w:rsid w:val="006731F0"/>
    <w:rsid w:val="006756FB"/>
    <w:rsid w:val="0067647D"/>
    <w:rsid w:val="00677BD0"/>
    <w:rsid w:val="00685B82"/>
    <w:rsid w:val="00685E11"/>
    <w:rsid w:val="0069705B"/>
    <w:rsid w:val="006A0EDC"/>
    <w:rsid w:val="006A18DB"/>
    <w:rsid w:val="006A19C4"/>
    <w:rsid w:val="006A2D2E"/>
    <w:rsid w:val="006A48DA"/>
    <w:rsid w:val="006A5891"/>
    <w:rsid w:val="006B5025"/>
    <w:rsid w:val="006B511E"/>
    <w:rsid w:val="006C452E"/>
    <w:rsid w:val="006C6A78"/>
    <w:rsid w:val="006C7DB5"/>
    <w:rsid w:val="006D0E79"/>
    <w:rsid w:val="006D5B36"/>
    <w:rsid w:val="006E0B85"/>
    <w:rsid w:val="006E1947"/>
    <w:rsid w:val="006E3698"/>
    <w:rsid w:val="006E5242"/>
    <w:rsid w:val="006E790B"/>
    <w:rsid w:val="006F04A4"/>
    <w:rsid w:val="006F055C"/>
    <w:rsid w:val="006F3A2E"/>
    <w:rsid w:val="007002C9"/>
    <w:rsid w:val="007024FE"/>
    <w:rsid w:val="00707D20"/>
    <w:rsid w:val="00715B93"/>
    <w:rsid w:val="00721AD7"/>
    <w:rsid w:val="007225EF"/>
    <w:rsid w:val="00722BA6"/>
    <w:rsid w:val="007231EB"/>
    <w:rsid w:val="00723DC5"/>
    <w:rsid w:val="00727952"/>
    <w:rsid w:val="007338D6"/>
    <w:rsid w:val="00740437"/>
    <w:rsid w:val="00740B36"/>
    <w:rsid w:val="00745EBA"/>
    <w:rsid w:val="00746DED"/>
    <w:rsid w:val="00747A6F"/>
    <w:rsid w:val="0075158D"/>
    <w:rsid w:val="0075622F"/>
    <w:rsid w:val="0076067D"/>
    <w:rsid w:val="0076281C"/>
    <w:rsid w:val="007632E9"/>
    <w:rsid w:val="00764288"/>
    <w:rsid w:val="0076440A"/>
    <w:rsid w:val="00774F2A"/>
    <w:rsid w:val="0078042F"/>
    <w:rsid w:val="00781A50"/>
    <w:rsid w:val="00782B9C"/>
    <w:rsid w:val="00782CDC"/>
    <w:rsid w:val="007839F9"/>
    <w:rsid w:val="00797765"/>
    <w:rsid w:val="007A2765"/>
    <w:rsid w:val="007A2E96"/>
    <w:rsid w:val="007A546E"/>
    <w:rsid w:val="007B13E5"/>
    <w:rsid w:val="007B2F6B"/>
    <w:rsid w:val="007B473A"/>
    <w:rsid w:val="007C6C1E"/>
    <w:rsid w:val="007D2A36"/>
    <w:rsid w:val="007D2C48"/>
    <w:rsid w:val="007D4056"/>
    <w:rsid w:val="007E0C23"/>
    <w:rsid w:val="007E546F"/>
    <w:rsid w:val="007F1928"/>
    <w:rsid w:val="007F1C30"/>
    <w:rsid w:val="007F343C"/>
    <w:rsid w:val="007F392E"/>
    <w:rsid w:val="00801422"/>
    <w:rsid w:val="008016B6"/>
    <w:rsid w:val="008022A0"/>
    <w:rsid w:val="00806FA9"/>
    <w:rsid w:val="00811234"/>
    <w:rsid w:val="00811A1B"/>
    <w:rsid w:val="008135D0"/>
    <w:rsid w:val="008204DD"/>
    <w:rsid w:val="00824DED"/>
    <w:rsid w:val="00826E5A"/>
    <w:rsid w:val="008276A8"/>
    <w:rsid w:val="008313C8"/>
    <w:rsid w:val="00832626"/>
    <w:rsid w:val="008363BC"/>
    <w:rsid w:val="008437B2"/>
    <w:rsid w:val="00843A9C"/>
    <w:rsid w:val="00843F1C"/>
    <w:rsid w:val="008500BA"/>
    <w:rsid w:val="00850DCE"/>
    <w:rsid w:val="00854FBB"/>
    <w:rsid w:val="00862292"/>
    <w:rsid w:val="008661BA"/>
    <w:rsid w:val="00871CA8"/>
    <w:rsid w:val="00877963"/>
    <w:rsid w:val="00881613"/>
    <w:rsid w:val="008836DC"/>
    <w:rsid w:val="00885004"/>
    <w:rsid w:val="00887AB4"/>
    <w:rsid w:val="00894290"/>
    <w:rsid w:val="008979E7"/>
    <w:rsid w:val="008A0061"/>
    <w:rsid w:val="008A25A1"/>
    <w:rsid w:val="008A3CFC"/>
    <w:rsid w:val="008B39B6"/>
    <w:rsid w:val="008B72C0"/>
    <w:rsid w:val="008C18F2"/>
    <w:rsid w:val="008C1AFD"/>
    <w:rsid w:val="008C27C3"/>
    <w:rsid w:val="008C4B67"/>
    <w:rsid w:val="008D1AEF"/>
    <w:rsid w:val="008D5F8F"/>
    <w:rsid w:val="008E14F3"/>
    <w:rsid w:val="008E1F61"/>
    <w:rsid w:val="008E5DA1"/>
    <w:rsid w:val="008F20FD"/>
    <w:rsid w:val="008F4140"/>
    <w:rsid w:val="008F544C"/>
    <w:rsid w:val="009008F8"/>
    <w:rsid w:val="009032D5"/>
    <w:rsid w:val="00905E86"/>
    <w:rsid w:val="009124E4"/>
    <w:rsid w:val="009168C7"/>
    <w:rsid w:val="00925891"/>
    <w:rsid w:val="00925FA2"/>
    <w:rsid w:val="00926A9C"/>
    <w:rsid w:val="00927724"/>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26F3"/>
    <w:rsid w:val="00993D92"/>
    <w:rsid w:val="00997480"/>
    <w:rsid w:val="009A4D63"/>
    <w:rsid w:val="009A54FC"/>
    <w:rsid w:val="009A5A1C"/>
    <w:rsid w:val="009B08C5"/>
    <w:rsid w:val="009B0DE8"/>
    <w:rsid w:val="009B52C0"/>
    <w:rsid w:val="009C2167"/>
    <w:rsid w:val="009C324F"/>
    <w:rsid w:val="009C3EE1"/>
    <w:rsid w:val="009C6D2C"/>
    <w:rsid w:val="009D46C1"/>
    <w:rsid w:val="009E0D02"/>
    <w:rsid w:val="009E5838"/>
    <w:rsid w:val="009F3F92"/>
    <w:rsid w:val="009F6C30"/>
    <w:rsid w:val="00A039FE"/>
    <w:rsid w:val="00A04465"/>
    <w:rsid w:val="00A0495F"/>
    <w:rsid w:val="00A06D64"/>
    <w:rsid w:val="00A11704"/>
    <w:rsid w:val="00A11840"/>
    <w:rsid w:val="00A12440"/>
    <w:rsid w:val="00A22957"/>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721E"/>
    <w:rsid w:val="00A921DD"/>
    <w:rsid w:val="00A92495"/>
    <w:rsid w:val="00AA20A2"/>
    <w:rsid w:val="00AA439A"/>
    <w:rsid w:val="00AA5899"/>
    <w:rsid w:val="00AA62E3"/>
    <w:rsid w:val="00AB75A3"/>
    <w:rsid w:val="00AB7FC6"/>
    <w:rsid w:val="00AC334D"/>
    <w:rsid w:val="00AC4581"/>
    <w:rsid w:val="00AD115D"/>
    <w:rsid w:val="00AD16AE"/>
    <w:rsid w:val="00AD3624"/>
    <w:rsid w:val="00AD4984"/>
    <w:rsid w:val="00AD6C53"/>
    <w:rsid w:val="00AE5886"/>
    <w:rsid w:val="00AE72F4"/>
    <w:rsid w:val="00AF0A4B"/>
    <w:rsid w:val="00AF65DE"/>
    <w:rsid w:val="00AF7131"/>
    <w:rsid w:val="00AF7415"/>
    <w:rsid w:val="00B03714"/>
    <w:rsid w:val="00B04278"/>
    <w:rsid w:val="00B12672"/>
    <w:rsid w:val="00B14861"/>
    <w:rsid w:val="00B163AD"/>
    <w:rsid w:val="00B16656"/>
    <w:rsid w:val="00B17EEB"/>
    <w:rsid w:val="00B23254"/>
    <w:rsid w:val="00B2434D"/>
    <w:rsid w:val="00B24D29"/>
    <w:rsid w:val="00B34716"/>
    <w:rsid w:val="00B359FB"/>
    <w:rsid w:val="00B42477"/>
    <w:rsid w:val="00B477CA"/>
    <w:rsid w:val="00B5169C"/>
    <w:rsid w:val="00B6131E"/>
    <w:rsid w:val="00B61A13"/>
    <w:rsid w:val="00B625B1"/>
    <w:rsid w:val="00B648CA"/>
    <w:rsid w:val="00B677E5"/>
    <w:rsid w:val="00B74894"/>
    <w:rsid w:val="00B77E48"/>
    <w:rsid w:val="00B803B1"/>
    <w:rsid w:val="00B81439"/>
    <w:rsid w:val="00B81CFE"/>
    <w:rsid w:val="00B82B83"/>
    <w:rsid w:val="00B86119"/>
    <w:rsid w:val="00B86DAB"/>
    <w:rsid w:val="00B875F7"/>
    <w:rsid w:val="00B909F7"/>
    <w:rsid w:val="00B94AAD"/>
    <w:rsid w:val="00B95A12"/>
    <w:rsid w:val="00B96A24"/>
    <w:rsid w:val="00BA677D"/>
    <w:rsid w:val="00BA6FDB"/>
    <w:rsid w:val="00BB40CC"/>
    <w:rsid w:val="00BC07D6"/>
    <w:rsid w:val="00BC10A1"/>
    <w:rsid w:val="00BC290B"/>
    <w:rsid w:val="00BC31F9"/>
    <w:rsid w:val="00BC6F83"/>
    <w:rsid w:val="00BC7B60"/>
    <w:rsid w:val="00BD2B71"/>
    <w:rsid w:val="00BD34B4"/>
    <w:rsid w:val="00BD3C51"/>
    <w:rsid w:val="00BD6AA5"/>
    <w:rsid w:val="00BE2C56"/>
    <w:rsid w:val="00BE3D12"/>
    <w:rsid w:val="00BE73BE"/>
    <w:rsid w:val="00BF0E63"/>
    <w:rsid w:val="00BF19DF"/>
    <w:rsid w:val="00BF2C5D"/>
    <w:rsid w:val="00BF31E3"/>
    <w:rsid w:val="00BF321D"/>
    <w:rsid w:val="00C00740"/>
    <w:rsid w:val="00C07731"/>
    <w:rsid w:val="00C12D16"/>
    <w:rsid w:val="00C15A1B"/>
    <w:rsid w:val="00C1657F"/>
    <w:rsid w:val="00C1686B"/>
    <w:rsid w:val="00C218A9"/>
    <w:rsid w:val="00C2432D"/>
    <w:rsid w:val="00C263F4"/>
    <w:rsid w:val="00C34D56"/>
    <w:rsid w:val="00C4691B"/>
    <w:rsid w:val="00C47EE0"/>
    <w:rsid w:val="00C53758"/>
    <w:rsid w:val="00C60992"/>
    <w:rsid w:val="00C63006"/>
    <w:rsid w:val="00C631E3"/>
    <w:rsid w:val="00C645A7"/>
    <w:rsid w:val="00C67568"/>
    <w:rsid w:val="00C71871"/>
    <w:rsid w:val="00C77666"/>
    <w:rsid w:val="00C8290A"/>
    <w:rsid w:val="00C83FE6"/>
    <w:rsid w:val="00C913B6"/>
    <w:rsid w:val="00C94A6B"/>
    <w:rsid w:val="00C97103"/>
    <w:rsid w:val="00CA6EA3"/>
    <w:rsid w:val="00CB15A7"/>
    <w:rsid w:val="00CB15CC"/>
    <w:rsid w:val="00CB1A37"/>
    <w:rsid w:val="00CB1DA8"/>
    <w:rsid w:val="00CB6D97"/>
    <w:rsid w:val="00CD44A8"/>
    <w:rsid w:val="00CE01CF"/>
    <w:rsid w:val="00CE0C9D"/>
    <w:rsid w:val="00CE1E0E"/>
    <w:rsid w:val="00D20AFC"/>
    <w:rsid w:val="00D211FF"/>
    <w:rsid w:val="00D23CDC"/>
    <w:rsid w:val="00D268EB"/>
    <w:rsid w:val="00D26CFF"/>
    <w:rsid w:val="00D274C6"/>
    <w:rsid w:val="00D4354E"/>
    <w:rsid w:val="00D43B0A"/>
    <w:rsid w:val="00D44CA3"/>
    <w:rsid w:val="00D456D8"/>
    <w:rsid w:val="00D45A0E"/>
    <w:rsid w:val="00D4758C"/>
    <w:rsid w:val="00D51B6A"/>
    <w:rsid w:val="00D54B28"/>
    <w:rsid w:val="00D55FAB"/>
    <w:rsid w:val="00D56786"/>
    <w:rsid w:val="00D60F04"/>
    <w:rsid w:val="00D61B7F"/>
    <w:rsid w:val="00D61EAB"/>
    <w:rsid w:val="00D701D3"/>
    <w:rsid w:val="00D71E46"/>
    <w:rsid w:val="00D7445F"/>
    <w:rsid w:val="00D8265D"/>
    <w:rsid w:val="00D90E78"/>
    <w:rsid w:val="00D910ED"/>
    <w:rsid w:val="00D92B1D"/>
    <w:rsid w:val="00D960F4"/>
    <w:rsid w:val="00DB38BF"/>
    <w:rsid w:val="00DB57ED"/>
    <w:rsid w:val="00DC0E31"/>
    <w:rsid w:val="00DC5CBE"/>
    <w:rsid w:val="00DC70D0"/>
    <w:rsid w:val="00DC7DD6"/>
    <w:rsid w:val="00DD4BA0"/>
    <w:rsid w:val="00DE59A7"/>
    <w:rsid w:val="00DE66C5"/>
    <w:rsid w:val="00DF2780"/>
    <w:rsid w:val="00DF54D5"/>
    <w:rsid w:val="00E03556"/>
    <w:rsid w:val="00E13146"/>
    <w:rsid w:val="00E14FE8"/>
    <w:rsid w:val="00E174FC"/>
    <w:rsid w:val="00E20070"/>
    <w:rsid w:val="00E20994"/>
    <w:rsid w:val="00E22124"/>
    <w:rsid w:val="00E24D40"/>
    <w:rsid w:val="00E251EC"/>
    <w:rsid w:val="00E261AD"/>
    <w:rsid w:val="00E272DF"/>
    <w:rsid w:val="00E31097"/>
    <w:rsid w:val="00E31E13"/>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471"/>
    <w:rsid w:val="00E96706"/>
    <w:rsid w:val="00E973F7"/>
    <w:rsid w:val="00EA217E"/>
    <w:rsid w:val="00EA3B02"/>
    <w:rsid w:val="00EA5A59"/>
    <w:rsid w:val="00EA743A"/>
    <w:rsid w:val="00EB0496"/>
    <w:rsid w:val="00EB3301"/>
    <w:rsid w:val="00EB37F9"/>
    <w:rsid w:val="00EB3E87"/>
    <w:rsid w:val="00EB4A75"/>
    <w:rsid w:val="00EB5FBB"/>
    <w:rsid w:val="00EC6929"/>
    <w:rsid w:val="00EC6A0B"/>
    <w:rsid w:val="00ED407A"/>
    <w:rsid w:val="00ED6012"/>
    <w:rsid w:val="00ED6DB9"/>
    <w:rsid w:val="00EE3517"/>
    <w:rsid w:val="00EE4A18"/>
    <w:rsid w:val="00EE5745"/>
    <w:rsid w:val="00EF61D1"/>
    <w:rsid w:val="00EF70F2"/>
    <w:rsid w:val="00F01D63"/>
    <w:rsid w:val="00F12462"/>
    <w:rsid w:val="00F154D0"/>
    <w:rsid w:val="00F17550"/>
    <w:rsid w:val="00F230F7"/>
    <w:rsid w:val="00F24169"/>
    <w:rsid w:val="00F261D6"/>
    <w:rsid w:val="00F319E6"/>
    <w:rsid w:val="00F329F4"/>
    <w:rsid w:val="00F33B94"/>
    <w:rsid w:val="00F35911"/>
    <w:rsid w:val="00F42415"/>
    <w:rsid w:val="00F42D43"/>
    <w:rsid w:val="00F57965"/>
    <w:rsid w:val="00F63BEA"/>
    <w:rsid w:val="00F67C2E"/>
    <w:rsid w:val="00F72B1B"/>
    <w:rsid w:val="00F77E12"/>
    <w:rsid w:val="00F814DE"/>
    <w:rsid w:val="00F90045"/>
    <w:rsid w:val="00F925FE"/>
    <w:rsid w:val="00F9270C"/>
    <w:rsid w:val="00F9643F"/>
    <w:rsid w:val="00FA28D1"/>
    <w:rsid w:val="00FA3D8B"/>
    <w:rsid w:val="00FA6558"/>
    <w:rsid w:val="00FA75DB"/>
    <w:rsid w:val="00FB1AAD"/>
    <w:rsid w:val="00FB28F0"/>
    <w:rsid w:val="00FB6ED2"/>
    <w:rsid w:val="00FC0DD9"/>
    <w:rsid w:val="00FC6773"/>
    <w:rsid w:val="00FC7CE8"/>
    <w:rsid w:val="00FD0831"/>
    <w:rsid w:val="00FD489B"/>
    <w:rsid w:val="00FD530D"/>
    <w:rsid w:val="00FE0217"/>
    <w:rsid w:val="00FE4C91"/>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25"/>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 w:type="paragraph" w:customStyle="1" w:styleId="NO">
    <w:name w:val="NO"/>
    <w:basedOn w:val="Normal"/>
    <w:link w:val="NOChar"/>
    <w:rsid w:val="00CE01CF"/>
    <w:pPr>
      <w:keepLines/>
      <w:spacing w:before="0" w:after="180"/>
      <w:ind w:left="1135" w:hanging="851"/>
      <w:jc w:val="left"/>
    </w:pPr>
    <w:rPr>
      <w:rFonts w:ascii="Times New Roman" w:eastAsia="SimSun" w:hAnsi="Times New Roman"/>
      <w:lang w:val="en-GB" w:eastAsia="x-none"/>
    </w:rPr>
  </w:style>
  <w:style w:type="paragraph" w:customStyle="1" w:styleId="TAH">
    <w:name w:val="TAH"/>
    <w:basedOn w:val="Normal"/>
    <w:link w:val="TAHCar"/>
    <w:qFormat/>
    <w:rsid w:val="00CE01CF"/>
    <w:pPr>
      <w:keepNext/>
      <w:keepLines/>
      <w:spacing w:before="0" w:after="0"/>
      <w:jc w:val="center"/>
    </w:pPr>
    <w:rPr>
      <w:rFonts w:ascii="Arial" w:eastAsia="SimSun" w:hAnsi="Arial"/>
      <w:b/>
      <w:sz w:val="18"/>
      <w:lang w:val="en-GB" w:eastAsia="x-none"/>
    </w:rPr>
  </w:style>
  <w:style w:type="paragraph" w:customStyle="1" w:styleId="TH">
    <w:name w:val="TH"/>
    <w:basedOn w:val="Normal"/>
    <w:link w:val="THChar"/>
    <w:rsid w:val="00CE01CF"/>
    <w:pPr>
      <w:keepNext/>
      <w:keepLines/>
      <w:spacing w:after="180"/>
      <w:jc w:val="center"/>
    </w:pPr>
    <w:rPr>
      <w:rFonts w:ascii="Arial" w:eastAsia="SimSun" w:hAnsi="Arial"/>
      <w:b/>
      <w:lang w:val="en-GB" w:eastAsia="x-none"/>
    </w:rPr>
  </w:style>
  <w:style w:type="character" w:customStyle="1" w:styleId="NOChar">
    <w:name w:val="NO Char"/>
    <w:link w:val="NO"/>
    <w:rsid w:val="00CE01CF"/>
    <w:rPr>
      <w:rFonts w:ascii="Times New Roman" w:eastAsia="SimSun" w:hAnsi="Times New Roman"/>
      <w:lang w:val="en-GB" w:eastAsia="x-none"/>
    </w:rPr>
  </w:style>
  <w:style w:type="character" w:customStyle="1" w:styleId="THChar">
    <w:name w:val="TH Char"/>
    <w:link w:val="TH"/>
    <w:rsid w:val="00CE01CF"/>
    <w:rPr>
      <w:rFonts w:ascii="Arial" w:eastAsia="SimSun" w:hAnsi="Arial"/>
      <w:b/>
      <w:lang w:val="en-GB" w:eastAsia="x-none"/>
    </w:rPr>
  </w:style>
  <w:style w:type="character" w:customStyle="1" w:styleId="TALCar">
    <w:name w:val="TAL Car"/>
    <w:link w:val="TAL"/>
    <w:rsid w:val="00CE01CF"/>
    <w:rPr>
      <w:rFonts w:eastAsia="Times New Roman"/>
      <w:sz w:val="18"/>
      <w:lang w:val="en-GB" w:eastAsia="ja-JP"/>
    </w:rPr>
  </w:style>
  <w:style w:type="character" w:customStyle="1" w:styleId="TAHCar">
    <w:name w:val="TAH Car"/>
    <w:link w:val="TAH"/>
    <w:qFormat/>
    <w:rsid w:val="00CE01CF"/>
    <w:rPr>
      <w:rFonts w:ascii="Arial" w:eastAsia="SimSun" w:hAnsi="Arial"/>
      <w:b/>
      <w:sz w:val="18"/>
      <w:lang w:val="en-GB" w:eastAsia="x-none"/>
    </w:rPr>
  </w:style>
  <w:style w:type="paragraph" w:customStyle="1" w:styleId="B1">
    <w:name w:val="B1"/>
    <w:basedOn w:val="List"/>
    <w:link w:val="B1Char"/>
    <w:qFormat/>
    <w:rsid w:val="00ED6DB9"/>
    <w:pPr>
      <w:spacing w:before="0" w:after="180"/>
      <w:ind w:left="568" w:hanging="284"/>
      <w:contextualSpacing w:val="0"/>
      <w:jc w:val="left"/>
    </w:pPr>
    <w:rPr>
      <w:rFonts w:ascii="Times New Roman" w:eastAsia="SimSun" w:hAnsi="Times New Roman"/>
      <w:lang w:val="en-GB" w:eastAsia="x-none"/>
    </w:rPr>
  </w:style>
  <w:style w:type="character" w:customStyle="1" w:styleId="B1Char">
    <w:name w:val="B1 Char"/>
    <w:link w:val="B1"/>
    <w:rsid w:val="00ED6DB9"/>
    <w:rPr>
      <w:rFonts w:ascii="Times New Roman" w:eastAsia="SimSun" w:hAnsi="Times New Roman"/>
      <w:lang w:val="en-GB" w:eastAsia="x-none"/>
    </w:rPr>
  </w:style>
  <w:style w:type="paragraph" w:styleId="List">
    <w:name w:val="List"/>
    <w:basedOn w:val="Normal"/>
    <w:uiPriority w:val="99"/>
    <w:semiHidden/>
    <w:unhideWhenUsed/>
    <w:rsid w:val="00ED6DB9"/>
    <w:pPr>
      <w:ind w:left="360" w:hanging="360"/>
      <w:contextualSpacing/>
    </w:pPr>
  </w:style>
  <w:style w:type="paragraph" w:customStyle="1" w:styleId="B2">
    <w:name w:val="B2"/>
    <w:basedOn w:val="List2"/>
    <w:link w:val="B2Char"/>
    <w:rsid w:val="00222CD5"/>
    <w:pPr>
      <w:spacing w:before="0" w:after="180"/>
      <w:ind w:left="851" w:hanging="284"/>
      <w:contextualSpacing w:val="0"/>
      <w:jc w:val="left"/>
    </w:pPr>
    <w:rPr>
      <w:rFonts w:ascii="Times New Roman" w:eastAsia="SimSun" w:hAnsi="Times New Roman"/>
      <w:lang w:val="en-GB" w:eastAsia="x-none"/>
    </w:rPr>
  </w:style>
  <w:style w:type="paragraph" w:customStyle="1" w:styleId="B3">
    <w:name w:val="B3"/>
    <w:basedOn w:val="List3"/>
    <w:rsid w:val="00222CD5"/>
    <w:pPr>
      <w:spacing w:before="0" w:after="180"/>
      <w:ind w:left="1135" w:hanging="284"/>
      <w:contextualSpacing w:val="0"/>
      <w:jc w:val="left"/>
    </w:pPr>
    <w:rPr>
      <w:rFonts w:ascii="Times New Roman" w:eastAsia="SimSun" w:hAnsi="Times New Roman"/>
      <w:lang w:val="en-GB" w:eastAsia="x-none"/>
    </w:rPr>
  </w:style>
  <w:style w:type="character" w:customStyle="1" w:styleId="B2Char">
    <w:name w:val="B2 Char"/>
    <w:link w:val="B2"/>
    <w:rsid w:val="00222CD5"/>
    <w:rPr>
      <w:rFonts w:ascii="Times New Roman" w:eastAsia="SimSun" w:hAnsi="Times New Roman"/>
      <w:lang w:val="en-GB" w:eastAsia="x-none"/>
    </w:rPr>
  </w:style>
  <w:style w:type="paragraph" w:customStyle="1" w:styleId="BL">
    <w:name w:val="BL"/>
    <w:basedOn w:val="Normal"/>
    <w:rsid w:val="00222CD5"/>
    <w:pPr>
      <w:numPr>
        <w:numId w:val="37"/>
      </w:numPr>
      <w:tabs>
        <w:tab w:val="left" w:pos="851"/>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styleId="List3">
    <w:name w:val="List 3"/>
    <w:basedOn w:val="Normal"/>
    <w:uiPriority w:val="99"/>
    <w:semiHidden/>
    <w:unhideWhenUsed/>
    <w:rsid w:val="00222CD5"/>
    <w:pPr>
      <w:ind w:left="1080" w:hanging="360"/>
      <w:contextualSpacing/>
    </w:pPr>
  </w:style>
  <w:style w:type="table" w:styleId="GridTable4-Accent1">
    <w:name w:val="Grid Table 4 Accent 1"/>
    <w:basedOn w:val="TableNormal"/>
    <w:uiPriority w:val="49"/>
    <w:rsid w:val="004F79F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A363F-B453-4B2F-A2E8-C3FB6A2D1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1282</Words>
  <Characters>7309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19</cp:revision>
  <cp:lastPrinted>2016-02-23T15:51:00Z</cp:lastPrinted>
  <dcterms:created xsi:type="dcterms:W3CDTF">2019-02-12T23:26:00Z</dcterms:created>
  <dcterms:modified xsi:type="dcterms:W3CDTF">2019-03-29T21:12:00Z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